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5E54DF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DGT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778AE">
        <w:rPr>
          <w:rFonts w:ascii="Arial" w:hAnsi="Arial" w:cs="Arial"/>
          <w:b/>
          <w:sz w:val="20"/>
          <w:szCs w:val="20"/>
        </w:rPr>
        <w:t xml:space="preserve">the </w:t>
      </w:r>
      <w:r w:rsidR="00F02E19">
        <w:rPr>
          <w:rFonts w:ascii="Arial" w:hAnsi="Arial" w:cs="Arial"/>
          <w:b/>
          <w:sz w:val="20"/>
          <w:szCs w:val="20"/>
        </w:rPr>
        <w:t xml:space="preserve">financial statement </w:t>
      </w:r>
      <w:r w:rsidR="00761E26">
        <w:rPr>
          <w:rFonts w:ascii="Arial" w:hAnsi="Arial" w:cs="Arial"/>
          <w:b/>
          <w:sz w:val="20"/>
          <w:szCs w:val="20"/>
        </w:rPr>
        <w:t xml:space="preserve">of </w:t>
      </w:r>
      <w:r>
        <w:rPr>
          <w:rFonts w:ascii="Arial" w:hAnsi="Arial" w:cs="Arial"/>
          <w:b/>
          <w:sz w:val="20"/>
          <w:szCs w:val="20"/>
        </w:rPr>
        <w:t>2019</w:t>
      </w:r>
    </w:p>
    <w:p w:rsidR="008233DC" w:rsidRDefault="00E36A48" w:rsidP="008233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36B0D">
        <w:rPr>
          <w:rFonts w:ascii="Arial" w:hAnsi="Arial" w:cs="Arial"/>
          <w:sz w:val="20"/>
          <w:szCs w:val="20"/>
        </w:rPr>
        <w:t>20</w:t>
      </w:r>
      <w:r w:rsidR="00073028">
        <w:rPr>
          <w:rFonts w:ascii="Arial" w:hAnsi="Arial" w:cs="Arial"/>
          <w:sz w:val="20"/>
          <w:szCs w:val="20"/>
        </w:rPr>
        <w:t xml:space="preserve">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7F4180" w:rsidRPr="007F4180">
        <w:rPr>
          <w:rFonts w:ascii="Arial" w:hAnsi="Arial" w:cs="Arial"/>
          <w:sz w:val="20"/>
          <w:szCs w:val="20"/>
        </w:rPr>
        <w:t xml:space="preserve">Dona Transportation Construction </w:t>
      </w:r>
      <w:r w:rsidR="007F4180">
        <w:rPr>
          <w:rFonts w:ascii="Arial" w:hAnsi="Arial" w:cs="Arial"/>
          <w:sz w:val="20"/>
          <w:szCs w:val="20"/>
        </w:rPr>
        <w:t xml:space="preserve">Joint Stock Company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5E54DF">
        <w:rPr>
          <w:rFonts w:ascii="Arial" w:hAnsi="Arial" w:cs="Arial"/>
          <w:sz w:val="20"/>
          <w:szCs w:val="20"/>
        </w:rPr>
        <w:t>financial statement of 2019</w:t>
      </w:r>
      <w:r w:rsidR="00887B6C" w:rsidRPr="00887B6C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7F4180" w:rsidRDefault="007F4180" w:rsidP="007F41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4180">
        <w:rPr>
          <w:rFonts w:ascii="Arial" w:hAnsi="Arial" w:cs="Arial"/>
          <w:sz w:val="20"/>
          <w:szCs w:val="20"/>
        </w:rPr>
        <w:t xml:space="preserve">Dona Transportation Construction </w:t>
      </w:r>
      <w:r>
        <w:rPr>
          <w:rFonts w:ascii="Arial" w:hAnsi="Arial" w:cs="Arial"/>
          <w:sz w:val="20"/>
          <w:szCs w:val="20"/>
        </w:rPr>
        <w:t xml:space="preserve">Joint Stock Company explains the business results, basis of the qualified opinion and retrospective adjustment of </w:t>
      </w:r>
      <w:r w:rsidRPr="007F4180">
        <w:rPr>
          <w:rFonts w:ascii="Arial" w:hAnsi="Arial" w:cs="Arial"/>
          <w:sz w:val="20"/>
          <w:szCs w:val="20"/>
        </w:rPr>
        <w:t>Accounting Financial Consu</w:t>
      </w:r>
      <w:r>
        <w:rPr>
          <w:rFonts w:ascii="Arial" w:hAnsi="Arial" w:cs="Arial"/>
          <w:sz w:val="20"/>
          <w:szCs w:val="20"/>
        </w:rPr>
        <w:t>lting Services Company Limited on the financial statement of 2019 as follows:</w:t>
      </w:r>
    </w:p>
    <w:p w:rsidR="007F4180" w:rsidRDefault="007F4180" w:rsidP="007F41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Operation results in 2019</w:t>
      </w:r>
    </w:p>
    <w:p w:rsidR="007F4180" w:rsidRDefault="007F4180" w:rsidP="007F41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3360"/>
        <w:gridCol w:w="1914"/>
        <w:gridCol w:w="1914"/>
        <w:gridCol w:w="1915"/>
      </w:tblGrid>
      <w:tr w:rsidR="007F4180" w:rsidTr="007F4180">
        <w:tc>
          <w:tcPr>
            <w:tcW w:w="473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60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indicators</w:t>
            </w:r>
          </w:p>
        </w:tc>
        <w:tc>
          <w:tcPr>
            <w:tcW w:w="1914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914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915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Rate </w:t>
            </w:r>
          </w:p>
        </w:tc>
      </w:tr>
      <w:tr w:rsidR="007F4180" w:rsidTr="007F4180">
        <w:tc>
          <w:tcPr>
            <w:tcW w:w="473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914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219,000</w:t>
            </w:r>
          </w:p>
        </w:tc>
        <w:tc>
          <w:tcPr>
            <w:tcW w:w="1914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13,782</w:t>
            </w:r>
          </w:p>
        </w:tc>
        <w:tc>
          <w:tcPr>
            <w:tcW w:w="1915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6.27%</w:t>
            </w:r>
          </w:p>
        </w:tc>
      </w:tr>
      <w:tr w:rsidR="007F4180" w:rsidTr="007F4180">
        <w:tc>
          <w:tcPr>
            <w:tcW w:w="473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914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8,200</w:t>
            </w:r>
          </w:p>
        </w:tc>
        <w:tc>
          <w:tcPr>
            <w:tcW w:w="1914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1915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8.37%</w:t>
            </w:r>
          </w:p>
        </w:tc>
      </w:tr>
      <w:tr w:rsidR="007F4180" w:rsidTr="007F4180">
        <w:tc>
          <w:tcPr>
            <w:tcW w:w="473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1914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6,560</w:t>
            </w:r>
          </w:p>
        </w:tc>
        <w:tc>
          <w:tcPr>
            <w:tcW w:w="1914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1915" w:type="dxa"/>
          </w:tcPr>
          <w:p w:rsidR="007F4180" w:rsidRDefault="007F4180" w:rsidP="007F4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10.5%</w:t>
            </w:r>
          </w:p>
        </w:tc>
      </w:tr>
    </w:tbl>
    <w:p w:rsidR="007F4180" w:rsidRDefault="007F4180" w:rsidP="007F41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29EB" w:rsidRDefault="007F4180" w:rsidP="007F41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4180">
        <w:rPr>
          <w:rFonts w:ascii="Arial" w:hAnsi="Arial" w:cs="Arial"/>
          <w:sz w:val="20"/>
          <w:szCs w:val="20"/>
        </w:rPr>
        <w:t xml:space="preserve">- In 2019, the value of construction contracts transferred from 2018 </w:t>
      </w:r>
      <w:r>
        <w:rPr>
          <w:rFonts w:ascii="Arial" w:hAnsi="Arial" w:cs="Arial"/>
          <w:sz w:val="20"/>
          <w:szCs w:val="20"/>
        </w:rPr>
        <w:t>was</w:t>
      </w:r>
      <w:r w:rsidRPr="007F4180">
        <w:rPr>
          <w:rFonts w:ascii="Arial" w:hAnsi="Arial" w:cs="Arial"/>
          <w:sz w:val="20"/>
          <w:szCs w:val="20"/>
        </w:rPr>
        <w:t xml:space="preserve"> over VND 10 billion</w:t>
      </w:r>
      <w:r>
        <w:rPr>
          <w:rFonts w:ascii="Arial" w:hAnsi="Arial" w:cs="Arial"/>
          <w:sz w:val="20"/>
          <w:szCs w:val="20"/>
        </w:rPr>
        <w:t>. In 2019</w:t>
      </w:r>
      <w:r w:rsidRPr="007F4180">
        <w:rPr>
          <w:rFonts w:ascii="Arial" w:hAnsi="Arial" w:cs="Arial"/>
          <w:sz w:val="20"/>
          <w:szCs w:val="20"/>
        </w:rPr>
        <w:t xml:space="preserve"> the Company won only one project worth about </w:t>
      </w:r>
      <w:r w:rsidR="008729EB" w:rsidRPr="007F4180">
        <w:rPr>
          <w:rFonts w:ascii="Arial" w:hAnsi="Arial" w:cs="Arial"/>
          <w:sz w:val="20"/>
          <w:szCs w:val="20"/>
        </w:rPr>
        <w:t xml:space="preserve">VND </w:t>
      </w:r>
      <w:r w:rsidR="008729EB">
        <w:rPr>
          <w:rFonts w:ascii="Arial" w:hAnsi="Arial" w:cs="Arial"/>
          <w:sz w:val="20"/>
          <w:szCs w:val="20"/>
        </w:rPr>
        <w:t>0.</w:t>
      </w:r>
      <w:r w:rsidRPr="007F4180">
        <w:rPr>
          <w:rFonts w:ascii="Arial" w:hAnsi="Arial" w:cs="Arial"/>
          <w:sz w:val="20"/>
          <w:szCs w:val="20"/>
        </w:rPr>
        <w:t xml:space="preserve">7 billion </w:t>
      </w:r>
    </w:p>
    <w:p w:rsidR="008729EB" w:rsidRDefault="008729EB" w:rsidP="007F41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Most </w:t>
      </w:r>
      <w:r w:rsidR="007F4180" w:rsidRPr="007F4180">
        <w:rPr>
          <w:rFonts w:ascii="Arial" w:hAnsi="Arial" w:cs="Arial"/>
          <w:sz w:val="20"/>
          <w:szCs w:val="20"/>
        </w:rPr>
        <w:t xml:space="preserve">transitional </w:t>
      </w:r>
      <w:r>
        <w:rPr>
          <w:rFonts w:ascii="Arial" w:hAnsi="Arial" w:cs="Arial"/>
          <w:sz w:val="20"/>
          <w:szCs w:val="20"/>
        </w:rPr>
        <w:t>projects</w:t>
      </w:r>
      <w:r w:rsidR="007F4180" w:rsidRPr="007F41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were</w:t>
      </w:r>
      <w:r w:rsidR="007F4180" w:rsidRPr="007F4180">
        <w:rPr>
          <w:rFonts w:ascii="Arial" w:hAnsi="Arial" w:cs="Arial"/>
          <w:sz w:val="20"/>
          <w:szCs w:val="20"/>
        </w:rPr>
        <w:t xml:space="preserve"> in the end stage </w:t>
      </w:r>
      <w:r>
        <w:rPr>
          <w:rFonts w:ascii="Arial" w:hAnsi="Arial" w:cs="Arial"/>
          <w:sz w:val="20"/>
          <w:szCs w:val="20"/>
        </w:rPr>
        <w:t xml:space="preserve">with small value; </w:t>
      </w:r>
      <w:r w:rsidR="007F4180" w:rsidRPr="007F4180">
        <w:rPr>
          <w:rFonts w:ascii="Arial" w:hAnsi="Arial" w:cs="Arial"/>
          <w:sz w:val="20"/>
          <w:szCs w:val="20"/>
        </w:rPr>
        <w:t xml:space="preserve">the new projects </w:t>
      </w:r>
      <w:r>
        <w:rPr>
          <w:rFonts w:ascii="Arial" w:hAnsi="Arial" w:cs="Arial"/>
          <w:sz w:val="20"/>
          <w:szCs w:val="20"/>
        </w:rPr>
        <w:t>were</w:t>
      </w:r>
      <w:r w:rsidR="007F4180" w:rsidRPr="007F4180">
        <w:rPr>
          <w:rFonts w:ascii="Arial" w:hAnsi="Arial" w:cs="Arial"/>
          <w:sz w:val="20"/>
          <w:szCs w:val="20"/>
        </w:rPr>
        <w:t xml:space="preserve"> also </w:t>
      </w:r>
      <w:r>
        <w:rPr>
          <w:rFonts w:ascii="Arial" w:hAnsi="Arial" w:cs="Arial"/>
          <w:sz w:val="20"/>
          <w:szCs w:val="20"/>
        </w:rPr>
        <w:t>few</w:t>
      </w:r>
      <w:r w:rsidR="007F4180" w:rsidRPr="007F4180">
        <w:rPr>
          <w:rFonts w:ascii="Arial" w:hAnsi="Arial" w:cs="Arial"/>
          <w:sz w:val="20"/>
          <w:szCs w:val="20"/>
        </w:rPr>
        <w:t>, so in 2019, the Company coul</w:t>
      </w:r>
      <w:r>
        <w:rPr>
          <w:rFonts w:ascii="Arial" w:hAnsi="Arial" w:cs="Arial"/>
          <w:sz w:val="20"/>
          <w:szCs w:val="20"/>
        </w:rPr>
        <w:t>d not complete the revenue plan</w:t>
      </w:r>
    </w:p>
    <w:p w:rsidR="007F4180" w:rsidRDefault="007F4180" w:rsidP="007F41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4180">
        <w:rPr>
          <w:rFonts w:ascii="Arial" w:hAnsi="Arial" w:cs="Arial"/>
          <w:sz w:val="20"/>
          <w:szCs w:val="20"/>
        </w:rPr>
        <w:t>- For pro</w:t>
      </w:r>
      <w:r w:rsidR="008729EB">
        <w:rPr>
          <w:rFonts w:ascii="Arial" w:hAnsi="Arial" w:cs="Arial"/>
          <w:sz w:val="20"/>
          <w:szCs w:val="20"/>
        </w:rPr>
        <w:t>jects with higher profit proportion</w:t>
      </w:r>
      <w:r w:rsidRPr="007F4180">
        <w:rPr>
          <w:rFonts w:ascii="Arial" w:hAnsi="Arial" w:cs="Arial"/>
          <w:sz w:val="20"/>
          <w:szCs w:val="20"/>
        </w:rPr>
        <w:t xml:space="preserve"> in 2019 such as Tan </w:t>
      </w:r>
      <w:proofErr w:type="spellStart"/>
      <w:r w:rsidRPr="007F4180">
        <w:rPr>
          <w:rFonts w:ascii="Arial" w:hAnsi="Arial" w:cs="Arial"/>
          <w:sz w:val="20"/>
          <w:szCs w:val="20"/>
        </w:rPr>
        <w:t>Cang</w:t>
      </w:r>
      <w:proofErr w:type="spellEnd"/>
      <w:r w:rsidRPr="007F4180">
        <w:rPr>
          <w:rFonts w:ascii="Arial" w:hAnsi="Arial" w:cs="Arial"/>
          <w:sz w:val="20"/>
          <w:szCs w:val="20"/>
        </w:rPr>
        <w:t xml:space="preserve"> 4 Quarry which has not yet been </w:t>
      </w:r>
      <w:r w:rsidR="008729EB">
        <w:rPr>
          <w:rFonts w:ascii="Arial" w:hAnsi="Arial" w:cs="Arial"/>
          <w:sz w:val="20"/>
          <w:szCs w:val="20"/>
        </w:rPr>
        <w:t>put in</w:t>
      </w:r>
      <w:r w:rsidRPr="007F4180">
        <w:rPr>
          <w:rFonts w:ascii="Arial" w:hAnsi="Arial" w:cs="Arial"/>
          <w:sz w:val="20"/>
          <w:szCs w:val="20"/>
        </w:rPr>
        <w:t xml:space="preserve"> exploitation, hot asphalt concrete s</w:t>
      </w:r>
      <w:r w:rsidR="008729EB">
        <w:rPr>
          <w:rFonts w:ascii="Arial" w:hAnsi="Arial" w:cs="Arial"/>
          <w:sz w:val="20"/>
          <w:szCs w:val="20"/>
        </w:rPr>
        <w:t xml:space="preserve">tation and </w:t>
      </w:r>
      <w:proofErr w:type="spellStart"/>
      <w:r w:rsidR="008729EB">
        <w:rPr>
          <w:rFonts w:ascii="Arial" w:hAnsi="Arial" w:cs="Arial"/>
          <w:sz w:val="20"/>
          <w:szCs w:val="20"/>
        </w:rPr>
        <w:t>Dak</w:t>
      </w:r>
      <w:proofErr w:type="spellEnd"/>
      <w:r w:rsidR="008729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9EB">
        <w:rPr>
          <w:rFonts w:ascii="Arial" w:hAnsi="Arial" w:cs="Arial"/>
          <w:sz w:val="20"/>
          <w:szCs w:val="20"/>
        </w:rPr>
        <w:t>Lua</w:t>
      </w:r>
      <w:proofErr w:type="spellEnd"/>
      <w:r w:rsidR="008729EB">
        <w:rPr>
          <w:rFonts w:ascii="Arial" w:hAnsi="Arial" w:cs="Arial"/>
          <w:sz w:val="20"/>
          <w:szCs w:val="20"/>
        </w:rPr>
        <w:t xml:space="preserve"> sand mining e</w:t>
      </w:r>
      <w:r w:rsidRPr="007F4180">
        <w:rPr>
          <w:rFonts w:ascii="Arial" w:hAnsi="Arial" w:cs="Arial"/>
          <w:sz w:val="20"/>
          <w:szCs w:val="20"/>
        </w:rPr>
        <w:t xml:space="preserve">nterprise </w:t>
      </w:r>
      <w:r w:rsidR="008729EB">
        <w:rPr>
          <w:rFonts w:ascii="Arial" w:hAnsi="Arial" w:cs="Arial"/>
          <w:sz w:val="20"/>
          <w:szCs w:val="20"/>
        </w:rPr>
        <w:t xml:space="preserve">with low revenue. </w:t>
      </w:r>
      <w:r w:rsidRPr="007F4180">
        <w:rPr>
          <w:rFonts w:ascii="Arial" w:hAnsi="Arial" w:cs="Arial"/>
          <w:sz w:val="20"/>
          <w:szCs w:val="20"/>
        </w:rPr>
        <w:t>Therefore</w:t>
      </w:r>
      <w:r w:rsidR="008729EB">
        <w:rPr>
          <w:rFonts w:ascii="Arial" w:hAnsi="Arial" w:cs="Arial"/>
          <w:sz w:val="20"/>
          <w:szCs w:val="20"/>
        </w:rPr>
        <w:t>, the Company's total revenue was only 6.</w:t>
      </w:r>
      <w:r w:rsidRPr="007F4180">
        <w:rPr>
          <w:rFonts w:ascii="Arial" w:hAnsi="Arial" w:cs="Arial"/>
          <w:sz w:val="20"/>
          <w:szCs w:val="20"/>
        </w:rPr>
        <w:t xml:space="preserve">29%, resulting in not achieving the revenue as </w:t>
      </w:r>
      <w:r w:rsidR="008729EB" w:rsidRPr="007F4180">
        <w:rPr>
          <w:rFonts w:ascii="Arial" w:hAnsi="Arial" w:cs="Arial"/>
          <w:sz w:val="20"/>
          <w:szCs w:val="20"/>
        </w:rPr>
        <w:t xml:space="preserve">expected </w:t>
      </w:r>
      <w:r w:rsidR="008729EB">
        <w:rPr>
          <w:rFonts w:ascii="Arial" w:hAnsi="Arial" w:cs="Arial"/>
          <w:sz w:val="20"/>
          <w:szCs w:val="20"/>
        </w:rPr>
        <w:t>by the C</w:t>
      </w:r>
      <w:r w:rsidRPr="007F4180">
        <w:rPr>
          <w:rFonts w:ascii="Arial" w:hAnsi="Arial" w:cs="Arial"/>
          <w:sz w:val="20"/>
          <w:szCs w:val="20"/>
        </w:rPr>
        <w:t xml:space="preserve">ompany </w:t>
      </w:r>
    </w:p>
    <w:p w:rsidR="008729EB" w:rsidRDefault="008729EB" w:rsidP="008729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8729EB">
        <w:rPr>
          <w:rFonts w:ascii="Arial" w:hAnsi="Arial" w:cs="Arial"/>
          <w:sz w:val="20"/>
          <w:szCs w:val="20"/>
        </w:rPr>
        <w:t>On the basis of</w:t>
      </w:r>
      <w:r>
        <w:rPr>
          <w:rFonts w:ascii="Arial" w:hAnsi="Arial" w:cs="Arial"/>
          <w:sz w:val="20"/>
          <w:szCs w:val="20"/>
        </w:rPr>
        <w:t xml:space="preserve"> the qualified opinion</w:t>
      </w:r>
      <w:r w:rsidRPr="008729EB">
        <w:rPr>
          <w:rFonts w:ascii="Arial" w:hAnsi="Arial" w:cs="Arial"/>
          <w:sz w:val="20"/>
          <w:szCs w:val="20"/>
        </w:rPr>
        <w:t xml:space="preserve">: </w:t>
      </w:r>
    </w:p>
    <w:p w:rsidR="008729EB" w:rsidRDefault="008729EB" w:rsidP="008729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29E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For t</w:t>
      </w:r>
      <w:r w:rsidRPr="008729EB">
        <w:rPr>
          <w:rFonts w:ascii="Arial" w:hAnsi="Arial" w:cs="Arial"/>
          <w:sz w:val="20"/>
          <w:szCs w:val="20"/>
        </w:rPr>
        <w:t>he provision for doubtful receivables: VND 1</w:t>
      </w:r>
      <w:r>
        <w:rPr>
          <w:rFonts w:ascii="Arial" w:hAnsi="Arial" w:cs="Arial"/>
          <w:sz w:val="20"/>
          <w:szCs w:val="20"/>
        </w:rPr>
        <w:t>,</w:t>
      </w:r>
      <w:r w:rsidRPr="008729EB">
        <w:rPr>
          <w:rFonts w:ascii="Arial" w:hAnsi="Arial" w:cs="Arial"/>
          <w:sz w:val="20"/>
          <w:szCs w:val="20"/>
        </w:rPr>
        <w:t>888</w:t>
      </w:r>
      <w:r>
        <w:rPr>
          <w:rFonts w:ascii="Arial" w:hAnsi="Arial" w:cs="Arial"/>
          <w:sz w:val="20"/>
          <w:szCs w:val="20"/>
        </w:rPr>
        <w:t>,</w:t>
      </w:r>
      <w:r w:rsidRPr="008729EB">
        <w:rPr>
          <w:rFonts w:ascii="Arial" w:hAnsi="Arial" w:cs="Arial"/>
          <w:sz w:val="20"/>
          <w:szCs w:val="20"/>
        </w:rPr>
        <w:t>793</w:t>
      </w:r>
      <w:r>
        <w:rPr>
          <w:rFonts w:ascii="Arial" w:hAnsi="Arial" w:cs="Arial"/>
          <w:sz w:val="20"/>
          <w:szCs w:val="20"/>
        </w:rPr>
        <w:t>,</w:t>
      </w:r>
      <w:r w:rsidRPr="008729EB">
        <w:rPr>
          <w:rFonts w:ascii="Arial" w:hAnsi="Arial" w:cs="Arial"/>
          <w:sz w:val="20"/>
          <w:szCs w:val="20"/>
        </w:rPr>
        <w:t>693</w:t>
      </w:r>
      <w:r>
        <w:rPr>
          <w:rFonts w:ascii="Arial" w:hAnsi="Arial" w:cs="Arial"/>
          <w:sz w:val="20"/>
          <w:szCs w:val="20"/>
        </w:rPr>
        <w:t>, t</w:t>
      </w:r>
      <w:r w:rsidRPr="008729EB">
        <w:rPr>
          <w:rFonts w:ascii="Arial" w:hAnsi="Arial" w:cs="Arial"/>
          <w:sz w:val="20"/>
          <w:szCs w:val="20"/>
        </w:rPr>
        <w:t xml:space="preserve">he Company </w:t>
      </w:r>
      <w:r>
        <w:rPr>
          <w:rFonts w:ascii="Arial" w:hAnsi="Arial" w:cs="Arial"/>
          <w:sz w:val="20"/>
          <w:szCs w:val="20"/>
        </w:rPr>
        <w:t>did not record</w:t>
      </w:r>
      <w:r w:rsidRPr="008729EB">
        <w:rPr>
          <w:rFonts w:ascii="Arial" w:hAnsi="Arial" w:cs="Arial"/>
          <w:sz w:val="20"/>
          <w:szCs w:val="20"/>
        </w:rPr>
        <w:t xml:space="preserve"> in the 2019 business results, the Company explain</w:t>
      </w:r>
      <w:r>
        <w:rPr>
          <w:rFonts w:ascii="Arial" w:hAnsi="Arial" w:cs="Arial"/>
          <w:sz w:val="20"/>
          <w:szCs w:val="20"/>
        </w:rPr>
        <w:t xml:space="preserve">s this opinion as follows: </w:t>
      </w:r>
    </w:p>
    <w:p w:rsidR="00110EB8" w:rsidRDefault="008729EB" w:rsidP="008729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29EB">
        <w:rPr>
          <w:rFonts w:ascii="Arial" w:hAnsi="Arial" w:cs="Arial"/>
          <w:sz w:val="20"/>
          <w:szCs w:val="20"/>
        </w:rPr>
        <w:t xml:space="preserve">Due to the characteristics of the </w:t>
      </w:r>
      <w:r>
        <w:rPr>
          <w:rFonts w:ascii="Arial" w:hAnsi="Arial" w:cs="Arial"/>
          <w:sz w:val="20"/>
          <w:szCs w:val="20"/>
        </w:rPr>
        <w:t xml:space="preserve">transport </w:t>
      </w:r>
      <w:r w:rsidRPr="008729EB">
        <w:rPr>
          <w:rFonts w:ascii="Arial" w:hAnsi="Arial" w:cs="Arial"/>
          <w:sz w:val="20"/>
          <w:szCs w:val="20"/>
        </w:rPr>
        <w:t xml:space="preserve">construction industry, most of the construction is funded by the state budget, the main works are BOT, so </w:t>
      </w:r>
      <w:r>
        <w:rPr>
          <w:rFonts w:ascii="Arial" w:hAnsi="Arial" w:cs="Arial"/>
          <w:sz w:val="20"/>
          <w:szCs w:val="20"/>
        </w:rPr>
        <w:t>the settlement can be prolonged;</w:t>
      </w:r>
      <w:r w:rsidRPr="008729EB">
        <w:rPr>
          <w:rFonts w:ascii="Arial" w:hAnsi="Arial" w:cs="Arial"/>
          <w:sz w:val="20"/>
          <w:szCs w:val="20"/>
        </w:rPr>
        <w:t xml:space="preserve"> many works</w:t>
      </w:r>
      <w:r>
        <w:rPr>
          <w:rFonts w:ascii="Arial" w:hAnsi="Arial" w:cs="Arial"/>
          <w:sz w:val="20"/>
          <w:szCs w:val="20"/>
        </w:rPr>
        <w:t xml:space="preserve"> which are not settled despite over</w:t>
      </w:r>
      <w:r w:rsidRPr="008729EB">
        <w:rPr>
          <w:rFonts w:ascii="Arial" w:hAnsi="Arial" w:cs="Arial"/>
          <w:sz w:val="20"/>
          <w:szCs w:val="20"/>
        </w:rPr>
        <w:t xml:space="preserve"> the warranty pe</w:t>
      </w:r>
      <w:r>
        <w:rPr>
          <w:rFonts w:ascii="Arial" w:hAnsi="Arial" w:cs="Arial"/>
          <w:sz w:val="20"/>
          <w:szCs w:val="20"/>
        </w:rPr>
        <w:t xml:space="preserve">riod </w:t>
      </w:r>
      <w:r w:rsidRPr="008729EB">
        <w:rPr>
          <w:rFonts w:ascii="Arial" w:hAnsi="Arial" w:cs="Arial"/>
          <w:sz w:val="20"/>
          <w:szCs w:val="20"/>
        </w:rPr>
        <w:t xml:space="preserve">so </w:t>
      </w:r>
      <w:r w:rsidR="00110EB8">
        <w:rPr>
          <w:rFonts w:ascii="Arial" w:hAnsi="Arial" w:cs="Arial"/>
          <w:sz w:val="20"/>
          <w:szCs w:val="20"/>
        </w:rPr>
        <w:t>the</w:t>
      </w:r>
      <w:r w:rsidRPr="008729EB">
        <w:rPr>
          <w:rFonts w:ascii="Arial" w:hAnsi="Arial" w:cs="Arial"/>
          <w:sz w:val="20"/>
          <w:szCs w:val="20"/>
        </w:rPr>
        <w:t xml:space="preserve"> provision </w:t>
      </w:r>
      <w:r w:rsidR="00110EB8">
        <w:rPr>
          <w:rFonts w:ascii="Arial" w:hAnsi="Arial" w:cs="Arial"/>
          <w:sz w:val="20"/>
          <w:szCs w:val="20"/>
        </w:rPr>
        <w:t>was not made in 2019</w:t>
      </w:r>
    </w:p>
    <w:p w:rsidR="00110EB8" w:rsidRDefault="00110EB8" w:rsidP="008729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Interest expense</w:t>
      </w:r>
      <w:r w:rsidR="008729EB" w:rsidRPr="008729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 not</w:t>
      </w:r>
      <w:r w:rsidR="008729EB" w:rsidRPr="008729EB">
        <w:rPr>
          <w:rFonts w:ascii="Arial" w:hAnsi="Arial" w:cs="Arial"/>
          <w:sz w:val="20"/>
          <w:szCs w:val="20"/>
        </w:rPr>
        <w:t xml:space="preserve"> recognized </w:t>
      </w:r>
      <w:r>
        <w:rPr>
          <w:rFonts w:ascii="Arial" w:hAnsi="Arial" w:cs="Arial"/>
          <w:sz w:val="20"/>
          <w:szCs w:val="20"/>
        </w:rPr>
        <w:t xml:space="preserve">in 2019 by the Company: </w:t>
      </w:r>
      <w:r w:rsidRPr="008729EB">
        <w:rPr>
          <w:rFonts w:ascii="Arial" w:hAnsi="Arial" w:cs="Arial"/>
          <w:sz w:val="20"/>
          <w:szCs w:val="20"/>
        </w:rPr>
        <w:t xml:space="preserve">VND </w:t>
      </w:r>
      <w:r w:rsidR="008729EB" w:rsidRPr="008729E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8729EB" w:rsidRPr="008729EB">
        <w:rPr>
          <w:rFonts w:ascii="Arial" w:hAnsi="Arial" w:cs="Arial"/>
          <w:sz w:val="20"/>
          <w:szCs w:val="20"/>
        </w:rPr>
        <w:t>395</w:t>
      </w:r>
      <w:r>
        <w:rPr>
          <w:rFonts w:ascii="Arial" w:hAnsi="Arial" w:cs="Arial"/>
          <w:sz w:val="20"/>
          <w:szCs w:val="20"/>
        </w:rPr>
        <w:t>,</w:t>
      </w:r>
      <w:r w:rsidR="008729EB" w:rsidRPr="008729EB">
        <w:rPr>
          <w:rFonts w:ascii="Arial" w:hAnsi="Arial" w:cs="Arial"/>
          <w:sz w:val="20"/>
          <w:szCs w:val="20"/>
        </w:rPr>
        <w:t>729</w:t>
      </w:r>
      <w:r>
        <w:rPr>
          <w:rFonts w:ascii="Arial" w:hAnsi="Arial" w:cs="Arial"/>
          <w:sz w:val="20"/>
          <w:szCs w:val="20"/>
        </w:rPr>
        <w:t>,</w:t>
      </w:r>
      <w:r w:rsidR="008729EB" w:rsidRPr="008729EB">
        <w:rPr>
          <w:rFonts w:ascii="Arial" w:hAnsi="Arial" w:cs="Arial"/>
          <w:sz w:val="20"/>
          <w:szCs w:val="20"/>
        </w:rPr>
        <w:t>061 - Company explain</w:t>
      </w:r>
      <w:r>
        <w:rPr>
          <w:rFonts w:ascii="Arial" w:hAnsi="Arial" w:cs="Arial"/>
          <w:sz w:val="20"/>
          <w:szCs w:val="20"/>
        </w:rPr>
        <w:t>s</w:t>
      </w:r>
      <w:r w:rsidR="008729EB" w:rsidRPr="008729EB">
        <w:rPr>
          <w:rFonts w:ascii="Arial" w:hAnsi="Arial" w:cs="Arial"/>
          <w:sz w:val="20"/>
          <w:szCs w:val="20"/>
        </w:rPr>
        <w:t xml:space="preserve"> as follows: </w:t>
      </w:r>
    </w:p>
    <w:p w:rsidR="008729EB" w:rsidRDefault="008729EB" w:rsidP="008729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29EB">
        <w:rPr>
          <w:rFonts w:ascii="Arial" w:hAnsi="Arial" w:cs="Arial"/>
          <w:sz w:val="20"/>
          <w:szCs w:val="20"/>
        </w:rPr>
        <w:lastRenderedPageBreak/>
        <w:t xml:space="preserve">Till the end of 2019, </w:t>
      </w:r>
      <w:r w:rsidR="00110EB8">
        <w:rPr>
          <w:rFonts w:ascii="Arial" w:hAnsi="Arial" w:cs="Arial"/>
          <w:sz w:val="20"/>
          <w:szCs w:val="20"/>
        </w:rPr>
        <w:t>the</w:t>
      </w:r>
      <w:r w:rsidRPr="008729EB">
        <w:rPr>
          <w:rFonts w:ascii="Arial" w:hAnsi="Arial" w:cs="Arial"/>
          <w:sz w:val="20"/>
          <w:szCs w:val="20"/>
        </w:rPr>
        <w:t xml:space="preserve"> debts </w:t>
      </w:r>
      <w:r w:rsidR="00110EB8">
        <w:rPr>
          <w:rFonts w:ascii="Arial" w:hAnsi="Arial" w:cs="Arial"/>
          <w:sz w:val="20"/>
          <w:szCs w:val="20"/>
        </w:rPr>
        <w:t>of the Company at BIDV</w:t>
      </w:r>
      <w:r w:rsidRPr="008729EB">
        <w:rPr>
          <w:rFonts w:ascii="Arial" w:hAnsi="Arial" w:cs="Arial"/>
          <w:sz w:val="20"/>
          <w:szCs w:val="20"/>
        </w:rPr>
        <w:t xml:space="preserve"> were nearly </w:t>
      </w:r>
      <w:r w:rsidR="00110EB8">
        <w:rPr>
          <w:rFonts w:ascii="Arial" w:hAnsi="Arial" w:cs="Arial"/>
          <w:sz w:val="20"/>
          <w:szCs w:val="20"/>
        </w:rPr>
        <w:t xml:space="preserve">VND </w:t>
      </w:r>
      <w:r w:rsidRPr="008729EB">
        <w:rPr>
          <w:rFonts w:ascii="Arial" w:hAnsi="Arial" w:cs="Arial"/>
          <w:sz w:val="20"/>
          <w:szCs w:val="20"/>
        </w:rPr>
        <w:t xml:space="preserve">56 billion, which were overdue, so the construction </w:t>
      </w:r>
      <w:r w:rsidR="00110EB8">
        <w:rPr>
          <w:rFonts w:ascii="Arial" w:hAnsi="Arial" w:cs="Arial"/>
          <w:sz w:val="20"/>
          <w:szCs w:val="20"/>
        </w:rPr>
        <w:t xml:space="preserve">money </w:t>
      </w:r>
      <w:r w:rsidRPr="008729EB">
        <w:rPr>
          <w:rFonts w:ascii="Arial" w:hAnsi="Arial" w:cs="Arial"/>
          <w:sz w:val="20"/>
          <w:szCs w:val="20"/>
        </w:rPr>
        <w:t>w</w:t>
      </w:r>
      <w:r w:rsidR="00110EB8">
        <w:rPr>
          <w:rFonts w:ascii="Arial" w:hAnsi="Arial" w:cs="Arial"/>
          <w:sz w:val="20"/>
          <w:szCs w:val="20"/>
        </w:rPr>
        <w:t>as all collected by the bank and the interest</w:t>
      </w:r>
      <w:r w:rsidRPr="008729EB">
        <w:rPr>
          <w:rFonts w:ascii="Arial" w:hAnsi="Arial" w:cs="Arial"/>
          <w:sz w:val="20"/>
          <w:szCs w:val="20"/>
        </w:rPr>
        <w:t xml:space="preserve"> </w:t>
      </w:r>
      <w:r w:rsidR="00110EB8">
        <w:rPr>
          <w:rFonts w:ascii="Arial" w:hAnsi="Arial" w:cs="Arial"/>
          <w:sz w:val="20"/>
          <w:szCs w:val="20"/>
        </w:rPr>
        <w:t>was</w:t>
      </w:r>
      <w:r w:rsidRPr="008729EB">
        <w:rPr>
          <w:rFonts w:ascii="Arial" w:hAnsi="Arial" w:cs="Arial"/>
          <w:sz w:val="20"/>
          <w:szCs w:val="20"/>
        </w:rPr>
        <w:t xml:space="preserve"> </w:t>
      </w:r>
      <w:r w:rsidR="00110EB8">
        <w:rPr>
          <w:rFonts w:ascii="Arial" w:hAnsi="Arial" w:cs="Arial"/>
          <w:sz w:val="20"/>
          <w:szCs w:val="20"/>
        </w:rPr>
        <w:t xml:space="preserve">not </w:t>
      </w:r>
      <w:r w:rsidRPr="008729EB">
        <w:rPr>
          <w:rFonts w:ascii="Arial" w:hAnsi="Arial" w:cs="Arial"/>
          <w:sz w:val="20"/>
          <w:szCs w:val="20"/>
        </w:rPr>
        <w:t xml:space="preserve">temporarily recognized </w:t>
      </w:r>
      <w:r w:rsidR="00110EB8">
        <w:rPr>
          <w:rFonts w:ascii="Arial" w:hAnsi="Arial" w:cs="Arial"/>
          <w:sz w:val="20"/>
          <w:szCs w:val="20"/>
        </w:rPr>
        <w:t>in the</w:t>
      </w:r>
      <w:r w:rsidRPr="008729EB">
        <w:rPr>
          <w:rFonts w:ascii="Arial" w:hAnsi="Arial" w:cs="Arial"/>
          <w:sz w:val="20"/>
          <w:szCs w:val="20"/>
        </w:rPr>
        <w:t xml:space="preserve"> interest expense in the financial year due to the fail</w:t>
      </w:r>
      <w:r w:rsidR="00110EB8">
        <w:rPr>
          <w:rFonts w:ascii="Arial" w:hAnsi="Arial" w:cs="Arial"/>
          <w:sz w:val="20"/>
          <w:szCs w:val="20"/>
        </w:rPr>
        <w:t>ure to pay interest to the bank. A</w:t>
      </w:r>
      <w:r w:rsidRPr="008729EB">
        <w:rPr>
          <w:rFonts w:ascii="Arial" w:hAnsi="Arial" w:cs="Arial"/>
          <w:sz w:val="20"/>
          <w:szCs w:val="20"/>
        </w:rPr>
        <w:t xml:space="preserve">fter the Company </w:t>
      </w:r>
      <w:r w:rsidR="00110EB8">
        <w:rPr>
          <w:rFonts w:ascii="Arial" w:hAnsi="Arial" w:cs="Arial"/>
          <w:sz w:val="20"/>
          <w:szCs w:val="20"/>
        </w:rPr>
        <w:t>arranges</w:t>
      </w:r>
      <w:r w:rsidRPr="008729EB">
        <w:rPr>
          <w:rFonts w:ascii="Arial" w:hAnsi="Arial" w:cs="Arial"/>
          <w:sz w:val="20"/>
          <w:szCs w:val="20"/>
        </w:rPr>
        <w:t xml:space="preserve"> its financial</w:t>
      </w:r>
      <w:r w:rsidR="00110EB8">
        <w:rPr>
          <w:rFonts w:ascii="Arial" w:hAnsi="Arial" w:cs="Arial"/>
          <w:sz w:val="20"/>
          <w:szCs w:val="20"/>
        </w:rPr>
        <w:t xml:space="preserve"> resources and makes interest payment</w:t>
      </w:r>
      <w:r w:rsidRPr="008729EB">
        <w:rPr>
          <w:rFonts w:ascii="Arial" w:hAnsi="Arial" w:cs="Arial"/>
          <w:sz w:val="20"/>
          <w:szCs w:val="20"/>
        </w:rPr>
        <w:t xml:space="preserve"> to the bank, the Company will record </w:t>
      </w:r>
      <w:r w:rsidR="00110EB8">
        <w:rPr>
          <w:rFonts w:ascii="Arial" w:hAnsi="Arial" w:cs="Arial"/>
          <w:sz w:val="20"/>
          <w:szCs w:val="20"/>
        </w:rPr>
        <w:t xml:space="preserve">in </w:t>
      </w:r>
      <w:r w:rsidRPr="008729EB">
        <w:rPr>
          <w:rFonts w:ascii="Arial" w:hAnsi="Arial" w:cs="Arial"/>
          <w:sz w:val="20"/>
          <w:szCs w:val="20"/>
        </w:rPr>
        <w:t>the following years</w:t>
      </w:r>
    </w:p>
    <w:p w:rsidR="00110EB8" w:rsidRDefault="00110EB8" w:rsidP="008729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 2019</w:t>
      </w:r>
      <w:r w:rsidRPr="00110EB8">
        <w:rPr>
          <w:rFonts w:ascii="Arial" w:hAnsi="Arial" w:cs="Arial"/>
          <w:sz w:val="20"/>
          <w:szCs w:val="20"/>
        </w:rPr>
        <w:t xml:space="preserve">, the Company recorded </w:t>
      </w:r>
      <w:proofErr w:type="spellStart"/>
      <w:proofErr w:type="gramStart"/>
      <w:r w:rsidRPr="00110EB8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110EB8">
        <w:rPr>
          <w:rFonts w:ascii="Arial" w:hAnsi="Arial" w:cs="Arial"/>
          <w:sz w:val="20"/>
          <w:szCs w:val="20"/>
        </w:rPr>
        <w:t xml:space="preserve"> allocation of 70% of management expenses </w:t>
      </w:r>
      <w:r>
        <w:rPr>
          <w:rFonts w:ascii="Arial" w:hAnsi="Arial" w:cs="Arial"/>
          <w:sz w:val="20"/>
          <w:szCs w:val="20"/>
        </w:rPr>
        <w:t>in</w:t>
      </w:r>
      <w:r w:rsidRPr="00110EB8">
        <w:rPr>
          <w:rFonts w:ascii="Arial" w:hAnsi="Arial" w:cs="Arial"/>
          <w:sz w:val="20"/>
          <w:szCs w:val="20"/>
        </w:rPr>
        <w:t>to the cost of capital</w:t>
      </w:r>
      <w:r>
        <w:rPr>
          <w:rFonts w:ascii="Arial" w:hAnsi="Arial" w:cs="Arial"/>
          <w:sz w:val="20"/>
          <w:szCs w:val="20"/>
        </w:rPr>
        <w:t xml:space="preserve"> construction investment (Tan </w:t>
      </w:r>
      <w:proofErr w:type="spellStart"/>
      <w:r>
        <w:rPr>
          <w:rFonts w:ascii="Arial" w:hAnsi="Arial" w:cs="Arial"/>
          <w:sz w:val="20"/>
          <w:szCs w:val="20"/>
        </w:rPr>
        <w:t>Cang</w:t>
      </w:r>
      <w:proofErr w:type="spellEnd"/>
      <w:r w:rsidRPr="00110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quarry</w:t>
      </w:r>
      <w:r w:rsidRPr="00110EB8">
        <w:rPr>
          <w:rFonts w:ascii="Arial" w:hAnsi="Arial" w:cs="Arial"/>
          <w:sz w:val="20"/>
          <w:szCs w:val="20"/>
        </w:rPr>
        <w:t>) with the amount of: VND 6</w:t>
      </w:r>
      <w:r>
        <w:rPr>
          <w:rFonts w:ascii="Arial" w:hAnsi="Arial" w:cs="Arial"/>
          <w:sz w:val="20"/>
          <w:szCs w:val="20"/>
        </w:rPr>
        <w:t>,</w:t>
      </w:r>
      <w:r w:rsidRPr="00110EB8">
        <w:rPr>
          <w:rFonts w:ascii="Arial" w:hAnsi="Arial" w:cs="Arial"/>
          <w:sz w:val="20"/>
          <w:szCs w:val="20"/>
        </w:rPr>
        <w:t>149</w:t>
      </w:r>
      <w:r>
        <w:rPr>
          <w:rFonts w:ascii="Arial" w:hAnsi="Arial" w:cs="Arial"/>
          <w:sz w:val="20"/>
          <w:szCs w:val="20"/>
        </w:rPr>
        <w:t>,</w:t>
      </w:r>
      <w:r w:rsidRPr="00110EB8">
        <w:rPr>
          <w:rFonts w:ascii="Arial" w:hAnsi="Arial" w:cs="Arial"/>
          <w:sz w:val="20"/>
          <w:szCs w:val="20"/>
        </w:rPr>
        <w:t>019</w:t>
      </w:r>
      <w:r>
        <w:rPr>
          <w:rFonts w:ascii="Arial" w:hAnsi="Arial" w:cs="Arial"/>
          <w:sz w:val="20"/>
          <w:szCs w:val="20"/>
        </w:rPr>
        <w:t>,</w:t>
      </w:r>
      <w:r w:rsidRPr="00110EB8">
        <w:rPr>
          <w:rFonts w:ascii="Arial" w:hAnsi="Arial" w:cs="Arial"/>
          <w:sz w:val="20"/>
          <w:szCs w:val="20"/>
        </w:rPr>
        <w:t xml:space="preserve">202, the Company </w:t>
      </w:r>
      <w:r>
        <w:rPr>
          <w:rFonts w:ascii="Arial" w:hAnsi="Arial" w:cs="Arial"/>
          <w:sz w:val="20"/>
          <w:szCs w:val="20"/>
        </w:rPr>
        <w:t>explains as follows</w:t>
      </w:r>
      <w:r w:rsidRPr="00110EB8">
        <w:rPr>
          <w:rFonts w:ascii="Arial" w:hAnsi="Arial" w:cs="Arial"/>
          <w:sz w:val="20"/>
          <w:szCs w:val="20"/>
        </w:rPr>
        <w:t xml:space="preserve">: </w:t>
      </w:r>
    </w:p>
    <w:p w:rsidR="00110EB8" w:rsidRDefault="00110EB8" w:rsidP="008729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EB8">
        <w:rPr>
          <w:rFonts w:ascii="Arial" w:hAnsi="Arial" w:cs="Arial"/>
          <w:sz w:val="20"/>
          <w:szCs w:val="20"/>
        </w:rPr>
        <w:t xml:space="preserve">Because </w:t>
      </w:r>
      <w:r>
        <w:rPr>
          <w:rFonts w:ascii="Arial" w:hAnsi="Arial" w:cs="Arial"/>
          <w:sz w:val="20"/>
          <w:szCs w:val="20"/>
        </w:rPr>
        <w:t xml:space="preserve">at present, </w:t>
      </w:r>
      <w:r w:rsidRPr="00110EB8">
        <w:rPr>
          <w:rFonts w:ascii="Arial" w:hAnsi="Arial" w:cs="Arial"/>
          <w:sz w:val="20"/>
          <w:szCs w:val="20"/>
        </w:rPr>
        <w:t xml:space="preserve">all the resources of the Company are concentrated in construction investment to solve related issues </w:t>
      </w:r>
      <w:r>
        <w:rPr>
          <w:rFonts w:ascii="Arial" w:hAnsi="Arial" w:cs="Arial"/>
          <w:sz w:val="20"/>
          <w:szCs w:val="20"/>
        </w:rPr>
        <w:t>for</w:t>
      </w:r>
      <w:r w:rsidRPr="00110EB8">
        <w:rPr>
          <w:rFonts w:ascii="Arial" w:hAnsi="Arial" w:cs="Arial"/>
          <w:sz w:val="20"/>
          <w:szCs w:val="20"/>
        </w:rPr>
        <w:t xml:space="preserve"> Tan </w:t>
      </w:r>
      <w:proofErr w:type="spellStart"/>
      <w:r w:rsidRPr="00110EB8">
        <w:rPr>
          <w:rFonts w:ascii="Arial" w:hAnsi="Arial" w:cs="Arial"/>
          <w:sz w:val="20"/>
          <w:szCs w:val="20"/>
        </w:rPr>
        <w:t>Cang</w:t>
      </w:r>
      <w:proofErr w:type="spellEnd"/>
      <w:r w:rsidRPr="00110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 w:rsidRPr="00110EB8">
        <w:rPr>
          <w:rFonts w:ascii="Arial" w:hAnsi="Arial" w:cs="Arial"/>
          <w:sz w:val="20"/>
          <w:szCs w:val="20"/>
        </w:rPr>
        <w:t xml:space="preserve">uarry </w:t>
      </w:r>
      <w:r>
        <w:rPr>
          <w:rFonts w:ascii="Arial" w:hAnsi="Arial" w:cs="Arial"/>
          <w:sz w:val="20"/>
          <w:szCs w:val="20"/>
        </w:rPr>
        <w:t xml:space="preserve">to </w:t>
      </w:r>
      <w:r w:rsidRPr="00110EB8">
        <w:rPr>
          <w:rFonts w:ascii="Arial" w:hAnsi="Arial" w:cs="Arial"/>
          <w:sz w:val="20"/>
          <w:szCs w:val="20"/>
        </w:rPr>
        <w:t xml:space="preserve">be exploited soon, </w:t>
      </w:r>
      <w:r>
        <w:rPr>
          <w:rFonts w:ascii="Arial" w:hAnsi="Arial" w:cs="Arial"/>
          <w:sz w:val="20"/>
          <w:szCs w:val="20"/>
        </w:rPr>
        <w:t>the Company has allocated 70% of management expense into capital construction</w:t>
      </w:r>
    </w:p>
    <w:p w:rsidR="00566BE9" w:rsidRDefault="00110EB8" w:rsidP="008729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EB8">
        <w:rPr>
          <w:rFonts w:ascii="Arial" w:hAnsi="Arial" w:cs="Arial"/>
          <w:sz w:val="20"/>
          <w:szCs w:val="20"/>
        </w:rPr>
        <w:t xml:space="preserve">- Late payment </w:t>
      </w:r>
      <w:r>
        <w:rPr>
          <w:rFonts w:ascii="Arial" w:hAnsi="Arial" w:cs="Arial"/>
          <w:sz w:val="20"/>
          <w:szCs w:val="20"/>
        </w:rPr>
        <w:t>penalty interest rate not recorded in 2019</w:t>
      </w:r>
      <w:r w:rsidRPr="00110EB8">
        <w:rPr>
          <w:rFonts w:ascii="Arial" w:hAnsi="Arial" w:cs="Arial"/>
          <w:sz w:val="20"/>
          <w:szCs w:val="20"/>
        </w:rPr>
        <w:t>: VND 2</w:t>
      </w:r>
      <w:r>
        <w:rPr>
          <w:rFonts w:ascii="Arial" w:hAnsi="Arial" w:cs="Arial"/>
          <w:sz w:val="20"/>
          <w:szCs w:val="20"/>
        </w:rPr>
        <w:t>,</w:t>
      </w:r>
      <w:r w:rsidRPr="00110EB8">
        <w:rPr>
          <w:rFonts w:ascii="Arial" w:hAnsi="Arial" w:cs="Arial"/>
          <w:sz w:val="20"/>
          <w:szCs w:val="20"/>
        </w:rPr>
        <w:t>595</w:t>
      </w:r>
      <w:r>
        <w:rPr>
          <w:rFonts w:ascii="Arial" w:hAnsi="Arial" w:cs="Arial"/>
          <w:sz w:val="20"/>
          <w:szCs w:val="20"/>
        </w:rPr>
        <w:t>,</w:t>
      </w:r>
      <w:r w:rsidRPr="00110EB8">
        <w:rPr>
          <w:rFonts w:ascii="Arial" w:hAnsi="Arial" w:cs="Arial"/>
          <w:sz w:val="20"/>
          <w:szCs w:val="20"/>
        </w:rPr>
        <w:t>105</w:t>
      </w:r>
      <w:r>
        <w:rPr>
          <w:rFonts w:ascii="Arial" w:hAnsi="Arial" w:cs="Arial"/>
          <w:sz w:val="20"/>
          <w:szCs w:val="20"/>
        </w:rPr>
        <w:t>,</w:t>
      </w:r>
      <w:r w:rsidR="00566BE9">
        <w:rPr>
          <w:rFonts w:ascii="Arial" w:hAnsi="Arial" w:cs="Arial"/>
          <w:sz w:val="20"/>
          <w:szCs w:val="20"/>
        </w:rPr>
        <w:t xml:space="preserve">373. </w:t>
      </w:r>
      <w:r w:rsidRPr="00110EB8">
        <w:rPr>
          <w:rFonts w:ascii="Arial" w:hAnsi="Arial" w:cs="Arial"/>
          <w:sz w:val="20"/>
          <w:szCs w:val="20"/>
        </w:rPr>
        <w:t xml:space="preserve">The company explain as follows: </w:t>
      </w:r>
    </w:p>
    <w:p w:rsidR="00110EB8" w:rsidRDefault="00566BE9" w:rsidP="008729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Like</w:t>
      </w:r>
      <w:r w:rsidR="00110EB8" w:rsidRPr="00110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110EB8" w:rsidRPr="00110EB8">
        <w:rPr>
          <w:rFonts w:ascii="Arial" w:hAnsi="Arial" w:cs="Arial"/>
          <w:sz w:val="20"/>
          <w:szCs w:val="20"/>
        </w:rPr>
        <w:t xml:space="preserve">loan interest, in 2019, the </w:t>
      </w:r>
      <w:r>
        <w:rPr>
          <w:rFonts w:ascii="Arial" w:hAnsi="Arial" w:cs="Arial"/>
          <w:sz w:val="20"/>
          <w:szCs w:val="20"/>
        </w:rPr>
        <w:t>debts of the Company</w:t>
      </w:r>
      <w:r w:rsidR="00110EB8" w:rsidRPr="00110EB8">
        <w:rPr>
          <w:rFonts w:ascii="Arial" w:hAnsi="Arial" w:cs="Arial"/>
          <w:sz w:val="20"/>
          <w:szCs w:val="20"/>
        </w:rPr>
        <w:t xml:space="preserve"> at BIDV were overdue, the money from the works was collected by the </w:t>
      </w:r>
      <w:r>
        <w:rPr>
          <w:rFonts w:ascii="Arial" w:hAnsi="Arial" w:cs="Arial"/>
          <w:sz w:val="20"/>
          <w:szCs w:val="20"/>
        </w:rPr>
        <w:t xml:space="preserve">bank, </w:t>
      </w:r>
      <w:r w:rsidR="00110EB8" w:rsidRPr="00110EB8">
        <w:rPr>
          <w:rFonts w:ascii="Arial" w:hAnsi="Arial" w:cs="Arial"/>
          <w:sz w:val="20"/>
          <w:szCs w:val="20"/>
        </w:rPr>
        <w:t xml:space="preserve">therefore, the Company </w:t>
      </w:r>
      <w:r>
        <w:rPr>
          <w:rFonts w:ascii="Arial" w:hAnsi="Arial" w:cs="Arial"/>
          <w:sz w:val="20"/>
          <w:szCs w:val="20"/>
        </w:rPr>
        <w:t>was not</w:t>
      </w:r>
      <w:r w:rsidR="00110EB8" w:rsidRPr="00110EB8">
        <w:rPr>
          <w:rFonts w:ascii="Arial" w:hAnsi="Arial" w:cs="Arial"/>
          <w:sz w:val="20"/>
          <w:szCs w:val="20"/>
        </w:rPr>
        <w:t xml:space="preserve"> able to p</w:t>
      </w:r>
      <w:r>
        <w:rPr>
          <w:rFonts w:ascii="Arial" w:hAnsi="Arial" w:cs="Arial"/>
          <w:sz w:val="20"/>
          <w:szCs w:val="20"/>
        </w:rPr>
        <w:t>ay this interest expense</w:t>
      </w:r>
      <w:r w:rsidR="00110EB8" w:rsidRPr="00110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="00110EB8" w:rsidRPr="00110EB8">
        <w:rPr>
          <w:rFonts w:ascii="Arial" w:hAnsi="Arial" w:cs="Arial"/>
          <w:sz w:val="20"/>
          <w:szCs w:val="20"/>
        </w:rPr>
        <w:t xml:space="preserve"> late payment interest</w:t>
      </w:r>
      <w:r>
        <w:rPr>
          <w:rFonts w:ascii="Arial" w:hAnsi="Arial" w:cs="Arial"/>
          <w:sz w:val="20"/>
          <w:szCs w:val="20"/>
        </w:rPr>
        <w:t xml:space="preserve"> expense in 2019</w:t>
      </w:r>
      <w:r w:rsidR="00110EB8" w:rsidRPr="00110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financial statement</w:t>
      </w:r>
      <w:r w:rsidR="00110EB8" w:rsidRPr="00110EB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 the Company did not record this late payment interest in financial statement of 2018. T</w:t>
      </w:r>
      <w:r w:rsidR="00110EB8" w:rsidRPr="00110EB8">
        <w:rPr>
          <w:rFonts w:ascii="Arial" w:hAnsi="Arial" w:cs="Arial"/>
          <w:sz w:val="20"/>
          <w:szCs w:val="20"/>
        </w:rPr>
        <w:t>he Company is trying to arrange financial sour</w:t>
      </w:r>
      <w:r>
        <w:rPr>
          <w:rFonts w:ascii="Arial" w:hAnsi="Arial" w:cs="Arial"/>
          <w:sz w:val="20"/>
          <w:szCs w:val="20"/>
        </w:rPr>
        <w:t>ces for payment and additional</w:t>
      </w:r>
      <w:r w:rsidR="00110EB8" w:rsidRPr="00110EB8">
        <w:rPr>
          <w:rFonts w:ascii="Arial" w:hAnsi="Arial" w:cs="Arial"/>
          <w:sz w:val="20"/>
          <w:szCs w:val="20"/>
        </w:rPr>
        <w:t xml:space="preserve"> record</w:t>
      </w:r>
      <w:r>
        <w:rPr>
          <w:rFonts w:ascii="Arial" w:hAnsi="Arial" w:cs="Arial"/>
          <w:sz w:val="20"/>
          <w:szCs w:val="20"/>
        </w:rPr>
        <w:t xml:space="preserve"> for subsequent financial years</w:t>
      </w:r>
    </w:p>
    <w:p w:rsidR="00C84DFD" w:rsidRDefault="00C84DFD" w:rsidP="00C84D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C84DFD">
        <w:rPr>
          <w:rFonts w:ascii="Arial" w:hAnsi="Arial" w:cs="Arial"/>
          <w:sz w:val="20"/>
          <w:szCs w:val="20"/>
        </w:rPr>
        <w:t xml:space="preserve">Regarding the adjustment of the balance at the beginning of the year 2019 compared to the previous </w:t>
      </w:r>
      <w:r>
        <w:rPr>
          <w:rFonts w:ascii="Arial" w:hAnsi="Arial" w:cs="Arial"/>
          <w:sz w:val="20"/>
          <w:szCs w:val="20"/>
        </w:rPr>
        <w:t>financial statements</w:t>
      </w:r>
      <w:r w:rsidRPr="00C84DFD">
        <w:rPr>
          <w:rFonts w:ascii="Arial" w:hAnsi="Arial" w:cs="Arial"/>
          <w:sz w:val="20"/>
          <w:szCs w:val="20"/>
        </w:rPr>
        <w:t xml:space="preserve">, the Company </w:t>
      </w:r>
      <w:r>
        <w:rPr>
          <w:rFonts w:ascii="Arial" w:hAnsi="Arial" w:cs="Arial"/>
          <w:sz w:val="20"/>
          <w:szCs w:val="20"/>
        </w:rPr>
        <w:t>explains</w:t>
      </w:r>
      <w:r w:rsidRPr="00C84DFD">
        <w:rPr>
          <w:rFonts w:ascii="Arial" w:hAnsi="Arial" w:cs="Arial"/>
          <w:sz w:val="20"/>
          <w:szCs w:val="20"/>
        </w:rPr>
        <w:t xml:space="preserve"> as follows: </w:t>
      </w:r>
    </w:p>
    <w:p w:rsidR="00A31F4C" w:rsidRDefault="00C84DFD" w:rsidP="00C84D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4DFD">
        <w:rPr>
          <w:rFonts w:ascii="Arial" w:hAnsi="Arial" w:cs="Arial"/>
          <w:sz w:val="20"/>
          <w:szCs w:val="20"/>
        </w:rPr>
        <w:t xml:space="preserve">- During the operation of the </w:t>
      </w:r>
      <w:r w:rsidR="00A31F4C">
        <w:rPr>
          <w:rFonts w:ascii="Arial" w:hAnsi="Arial" w:cs="Arial"/>
          <w:sz w:val="20"/>
          <w:szCs w:val="20"/>
        </w:rPr>
        <w:t>Company</w:t>
      </w:r>
      <w:r w:rsidRPr="00C84DFD">
        <w:rPr>
          <w:rFonts w:ascii="Arial" w:hAnsi="Arial" w:cs="Arial"/>
          <w:sz w:val="20"/>
          <w:szCs w:val="20"/>
        </w:rPr>
        <w:t xml:space="preserve"> in </w:t>
      </w:r>
      <w:r w:rsidR="00A31F4C">
        <w:rPr>
          <w:rFonts w:ascii="Arial" w:hAnsi="Arial" w:cs="Arial"/>
          <w:sz w:val="20"/>
          <w:szCs w:val="20"/>
        </w:rPr>
        <w:t>2019</w:t>
      </w:r>
      <w:r w:rsidRPr="00C84DFD">
        <w:rPr>
          <w:rFonts w:ascii="Arial" w:hAnsi="Arial" w:cs="Arial"/>
          <w:sz w:val="20"/>
          <w:szCs w:val="20"/>
        </w:rPr>
        <w:t xml:space="preserve">, the Company focused efforts to </w:t>
      </w:r>
      <w:r w:rsidR="00A31F4C">
        <w:rPr>
          <w:rFonts w:ascii="Arial" w:hAnsi="Arial" w:cs="Arial"/>
          <w:sz w:val="20"/>
          <w:szCs w:val="20"/>
        </w:rPr>
        <w:t>collect debts. However, most of the debts were</w:t>
      </w:r>
      <w:r w:rsidRPr="00C84DFD">
        <w:rPr>
          <w:rFonts w:ascii="Arial" w:hAnsi="Arial" w:cs="Arial"/>
          <w:sz w:val="20"/>
          <w:szCs w:val="20"/>
        </w:rPr>
        <w:t xml:space="preserve"> outstanding for a long time, some businesses and individuals </w:t>
      </w:r>
      <w:r w:rsidR="00A31F4C">
        <w:rPr>
          <w:rFonts w:ascii="Arial" w:hAnsi="Arial" w:cs="Arial"/>
          <w:sz w:val="20"/>
          <w:szCs w:val="20"/>
        </w:rPr>
        <w:t>could not be</w:t>
      </w:r>
      <w:r w:rsidRPr="00C84DFD">
        <w:rPr>
          <w:rFonts w:ascii="Arial" w:hAnsi="Arial" w:cs="Arial"/>
          <w:sz w:val="20"/>
          <w:szCs w:val="20"/>
        </w:rPr>
        <w:t xml:space="preserve"> contact</w:t>
      </w:r>
      <w:r w:rsidR="00A31F4C">
        <w:rPr>
          <w:rFonts w:ascii="Arial" w:hAnsi="Arial" w:cs="Arial"/>
          <w:sz w:val="20"/>
          <w:szCs w:val="20"/>
        </w:rPr>
        <w:t>ed</w:t>
      </w:r>
      <w:r w:rsidRPr="00C84DFD">
        <w:rPr>
          <w:rFonts w:ascii="Arial" w:hAnsi="Arial" w:cs="Arial"/>
          <w:sz w:val="20"/>
          <w:szCs w:val="20"/>
        </w:rPr>
        <w:t xml:space="preserve">, so the </w:t>
      </w:r>
      <w:r w:rsidR="00A31F4C">
        <w:rPr>
          <w:rFonts w:ascii="Arial" w:hAnsi="Arial" w:cs="Arial"/>
          <w:sz w:val="20"/>
          <w:szCs w:val="20"/>
        </w:rPr>
        <w:t>Management Board</w:t>
      </w:r>
      <w:r w:rsidRPr="00C84DFD">
        <w:rPr>
          <w:rFonts w:ascii="Arial" w:hAnsi="Arial" w:cs="Arial"/>
          <w:sz w:val="20"/>
          <w:szCs w:val="20"/>
        </w:rPr>
        <w:t xml:space="preserve"> decided to</w:t>
      </w:r>
      <w:r w:rsidR="00A31F4C">
        <w:rPr>
          <w:rFonts w:ascii="Arial" w:hAnsi="Arial" w:cs="Arial"/>
          <w:sz w:val="20"/>
          <w:szCs w:val="20"/>
        </w:rPr>
        <w:t xml:space="preserve"> set up provisions for the debt</w:t>
      </w:r>
      <w:r w:rsidRPr="00C84DFD">
        <w:rPr>
          <w:rFonts w:ascii="Arial" w:hAnsi="Arial" w:cs="Arial"/>
          <w:sz w:val="20"/>
          <w:szCs w:val="20"/>
        </w:rPr>
        <w:t xml:space="preserve"> which need to be made as prescribed at the time of preparing the Decemb</w:t>
      </w:r>
      <w:r w:rsidR="00A31F4C">
        <w:rPr>
          <w:rFonts w:ascii="Arial" w:hAnsi="Arial" w:cs="Arial"/>
          <w:sz w:val="20"/>
          <w:szCs w:val="20"/>
        </w:rPr>
        <w:t>er 31, 2018 financial statement a</w:t>
      </w:r>
      <w:r w:rsidRPr="00C84DFD">
        <w:rPr>
          <w:rFonts w:ascii="Arial" w:hAnsi="Arial" w:cs="Arial"/>
          <w:sz w:val="20"/>
          <w:szCs w:val="20"/>
        </w:rPr>
        <w:t xml:space="preserve">s follows: </w:t>
      </w:r>
    </w:p>
    <w:p w:rsidR="00A31F4C" w:rsidRDefault="00A31F4C" w:rsidP="00C84D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C84DFD" w:rsidRPr="00C84DFD">
        <w:rPr>
          <w:rFonts w:ascii="Arial" w:hAnsi="Arial" w:cs="Arial"/>
          <w:sz w:val="20"/>
          <w:szCs w:val="20"/>
        </w:rPr>
        <w:t xml:space="preserve">1 Retrospective entries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646"/>
        <w:gridCol w:w="3192"/>
      </w:tblGrid>
      <w:tr w:rsidR="00A31F4C" w:rsidTr="00A31F4C">
        <w:tc>
          <w:tcPr>
            <w:tcW w:w="738" w:type="dxa"/>
          </w:tcPr>
          <w:p w:rsidR="00A31F4C" w:rsidRDefault="00A31F4C" w:rsidP="00C84D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46" w:type="dxa"/>
          </w:tcPr>
          <w:p w:rsidR="00A31F4C" w:rsidRDefault="00A31F4C" w:rsidP="00C84D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DFD">
              <w:rPr>
                <w:rFonts w:ascii="Arial" w:hAnsi="Arial" w:cs="Arial"/>
                <w:sz w:val="20"/>
                <w:szCs w:val="20"/>
              </w:rPr>
              <w:t>Retrospective content</w:t>
            </w:r>
          </w:p>
        </w:tc>
        <w:tc>
          <w:tcPr>
            <w:tcW w:w="3192" w:type="dxa"/>
          </w:tcPr>
          <w:p w:rsidR="00A31F4C" w:rsidRDefault="00A31F4C" w:rsidP="00C84D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Retrospective value</w:t>
            </w:r>
          </w:p>
        </w:tc>
      </w:tr>
      <w:tr w:rsidR="00A31F4C" w:rsidTr="00A31F4C">
        <w:tc>
          <w:tcPr>
            <w:tcW w:w="738" w:type="dxa"/>
          </w:tcPr>
          <w:p w:rsidR="00A31F4C" w:rsidRDefault="00A31F4C" w:rsidP="00C84D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46" w:type="dxa"/>
          </w:tcPr>
          <w:p w:rsidR="00A31F4C" w:rsidRDefault="00A31F4C" w:rsidP="00C84D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Making provision for bad debts </w:t>
            </w:r>
          </w:p>
        </w:tc>
        <w:tc>
          <w:tcPr>
            <w:tcW w:w="3192" w:type="dxa"/>
          </w:tcPr>
          <w:p w:rsidR="00A31F4C" w:rsidRPr="00C84DFD" w:rsidRDefault="00A31F4C" w:rsidP="00A31F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DFD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84DFD">
              <w:rPr>
                <w:rFonts w:ascii="Arial" w:hAnsi="Arial" w:cs="Arial"/>
                <w:sz w:val="20"/>
                <w:szCs w:val="20"/>
              </w:rPr>
              <w:t>477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84DFD">
              <w:rPr>
                <w:rFonts w:ascii="Arial" w:hAnsi="Arial" w:cs="Arial"/>
                <w:sz w:val="20"/>
                <w:szCs w:val="20"/>
              </w:rPr>
              <w:t>958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84DFD">
              <w:rPr>
                <w:rFonts w:ascii="Arial" w:hAnsi="Arial" w:cs="Arial"/>
                <w:sz w:val="20"/>
                <w:szCs w:val="20"/>
              </w:rPr>
              <w:t>358</w:t>
            </w:r>
          </w:p>
          <w:p w:rsidR="00A31F4C" w:rsidRDefault="00A31F4C" w:rsidP="00C84D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F4C" w:rsidRDefault="00A31F4C" w:rsidP="00C84D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1F4C" w:rsidRDefault="00A31F4C" w:rsidP="00A31F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A31F4C">
        <w:rPr>
          <w:rFonts w:ascii="Arial" w:hAnsi="Arial" w:cs="Arial"/>
          <w:sz w:val="20"/>
          <w:szCs w:val="20"/>
        </w:rPr>
        <w:t xml:space="preserve">2 Comparable figures </w:t>
      </w:r>
      <w:r>
        <w:rPr>
          <w:rFonts w:ascii="Arial" w:hAnsi="Arial" w:cs="Arial"/>
          <w:sz w:val="20"/>
          <w:szCs w:val="20"/>
        </w:rPr>
        <w:t>restated</w:t>
      </w:r>
      <w:r w:rsidRPr="00A31F4C">
        <w:rPr>
          <w:rFonts w:ascii="Arial" w:hAnsi="Arial" w:cs="Arial"/>
          <w:sz w:val="20"/>
          <w:szCs w:val="20"/>
        </w:rPr>
        <w:t xml:space="preserve"> (Presented in section </w:t>
      </w:r>
      <w:r>
        <w:rPr>
          <w:rFonts w:ascii="Arial" w:hAnsi="Arial" w:cs="Arial"/>
          <w:sz w:val="20"/>
          <w:szCs w:val="20"/>
        </w:rPr>
        <w:t>4, notes of financial statement</w:t>
      </w:r>
      <w:r w:rsidRPr="00A31F4C">
        <w:rPr>
          <w:rFonts w:ascii="Arial" w:hAnsi="Arial" w:cs="Arial"/>
          <w:sz w:val="20"/>
          <w:szCs w:val="20"/>
        </w:rPr>
        <w:t xml:space="preserve">) </w:t>
      </w:r>
    </w:p>
    <w:p w:rsidR="00A31F4C" w:rsidRDefault="00A31F4C" w:rsidP="00A31F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A31F4C">
        <w:rPr>
          <w:rFonts w:ascii="Arial" w:hAnsi="Arial" w:cs="Arial"/>
          <w:sz w:val="20"/>
          <w:szCs w:val="20"/>
        </w:rPr>
        <w:t xml:space="preserve">Balance Sheet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3386"/>
        <w:gridCol w:w="1234"/>
        <w:gridCol w:w="2160"/>
        <w:gridCol w:w="2268"/>
      </w:tblGrid>
      <w:tr w:rsidR="00A31F4C" w:rsidTr="00A31F4C">
        <w:tc>
          <w:tcPr>
            <w:tcW w:w="528" w:type="dxa"/>
          </w:tcPr>
          <w:p w:rsidR="00A31F4C" w:rsidRDefault="00A31F4C" w:rsidP="00A31F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4C">
              <w:rPr>
                <w:rFonts w:ascii="Arial" w:hAnsi="Arial" w:cs="Arial"/>
                <w:sz w:val="20"/>
                <w:szCs w:val="20"/>
              </w:rPr>
              <w:lastRenderedPageBreak/>
              <w:t>No.</w:t>
            </w:r>
          </w:p>
        </w:tc>
        <w:tc>
          <w:tcPr>
            <w:tcW w:w="3386" w:type="dxa"/>
          </w:tcPr>
          <w:p w:rsidR="00A31F4C" w:rsidRDefault="00A31F4C" w:rsidP="00A31F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4C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234" w:type="dxa"/>
          </w:tcPr>
          <w:p w:rsidR="00A31F4C" w:rsidRDefault="00A31F4C" w:rsidP="00A31F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4C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160" w:type="dxa"/>
          </w:tcPr>
          <w:p w:rsidR="00A31F4C" w:rsidRDefault="00A31F4C" w:rsidP="00A31F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2018 before adjustment</w:t>
            </w:r>
          </w:p>
        </w:tc>
        <w:tc>
          <w:tcPr>
            <w:tcW w:w="2268" w:type="dxa"/>
          </w:tcPr>
          <w:p w:rsidR="00A31F4C" w:rsidRDefault="00A31F4C" w:rsidP="00A31F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2018 after adjustment</w:t>
            </w:r>
          </w:p>
        </w:tc>
      </w:tr>
      <w:tr w:rsidR="00A31F4C" w:rsidTr="00A31F4C">
        <w:tc>
          <w:tcPr>
            <w:tcW w:w="528" w:type="dxa"/>
          </w:tcPr>
          <w:p w:rsidR="00A31F4C" w:rsidRDefault="00A31F4C" w:rsidP="00A31F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6" w:type="dxa"/>
          </w:tcPr>
          <w:p w:rsidR="00A31F4C" w:rsidRDefault="00A31F4C" w:rsidP="00A31F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4C">
              <w:rPr>
                <w:rFonts w:ascii="Arial" w:hAnsi="Arial" w:cs="Arial"/>
                <w:sz w:val="20"/>
                <w:szCs w:val="20"/>
              </w:rPr>
              <w:t>Provisions for short-term doubtful receivables</w:t>
            </w:r>
          </w:p>
        </w:tc>
        <w:tc>
          <w:tcPr>
            <w:tcW w:w="1234" w:type="dxa"/>
          </w:tcPr>
          <w:p w:rsidR="00A31F4C" w:rsidRDefault="00A31F4C" w:rsidP="00A31F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4C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160" w:type="dxa"/>
          </w:tcPr>
          <w:p w:rsidR="00A31F4C" w:rsidRDefault="00A31F4C" w:rsidP="00A31F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4C">
              <w:rPr>
                <w:rFonts w:ascii="Arial" w:hAnsi="Arial" w:cs="Arial"/>
                <w:sz w:val="20"/>
                <w:szCs w:val="20"/>
              </w:rPr>
              <w:t>(3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31F4C">
              <w:rPr>
                <w:rFonts w:ascii="Arial" w:hAnsi="Arial" w:cs="Arial"/>
                <w:sz w:val="20"/>
                <w:szCs w:val="20"/>
              </w:rPr>
              <w:t>068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31F4C">
              <w:rPr>
                <w:rFonts w:ascii="Arial" w:hAnsi="Arial" w:cs="Arial"/>
                <w:sz w:val="20"/>
                <w:szCs w:val="20"/>
              </w:rPr>
              <w:t>285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31F4C">
              <w:rPr>
                <w:rFonts w:ascii="Arial" w:hAnsi="Arial" w:cs="Arial"/>
                <w:sz w:val="20"/>
                <w:szCs w:val="20"/>
              </w:rPr>
              <w:t>099)</w:t>
            </w:r>
          </w:p>
        </w:tc>
        <w:tc>
          <w:tcPr>
            <w:tcW w:w="2268" w:type="dxa"/>
          </w:tcPr>
          <w:p w:rsidR="00A31F4C" w:rsidRDefault="00A31F4C" w:rsidP="00A31F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4C">
              <w:rPr>
                <w:rFonts w:ascii="Arial" w:hAnsi="Arial" w:cs="Arial"/>
                <w:sz w:val="20"/>
                <w:szCs w:val="20"/>
              </w:rPr>
              <w:t>(28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31F4C">
              <w:rPr>
                <w:rFonts w:ascii="Arial" w:hAnsi="Arial" w:cs="Arial"/>
                <w:sz w:val="20"/>
                <w:szCs w:val="20"/>
              </w:rPr>
              <w:t>546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31F4C">
              <w:rPr>
                <w:rFonts w:ascii="Arial" w:hAnsi="Arial" w:cs="Arial"/>
                <w:sz w:val="20"/>
                <w:szCs w:val="20"/>
              </w:rPr>
              <w:t>243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31F4C">
              <w:rPr>
                <w:rFonts w:ascii="Arial" w:hAnsi="Arial" w:cs="Arial"/>
                <w:sz w:val="20"/>
                <w:szCs w:val="20"/>
              </w:rPr>
              <w:t>457)</w:t>
            </w:r>
          </w:p>
        </w:tc>
      </w:tr>
      <w:tr w:rsidR="00A31F4C" w:rsidTr="00A31F4C">
        <w:tc>
          <w:tcPr>
            <w:tcW w:w="528" w:type="dxa"/>
          </w:tcPr>
          <w:p w:rsidR="00A31F4C" w:rsidRDefault="00A31F4C" w:rsidP="00A31F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6" w:type="dxa"/>
          </w:tcPr>
          <w:p w:rsidR="00A31F4C" w:rsidRDefault="00A31F4C" w:rsidP="00A31F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4C">
              <w:rPr>
                <w:rFonts w:ascii="Arial" w:hAnsi="Arial" w:cs="Arial"/>
                <w:sz w:val="20"/>
                <w:szCs w:val="20"/>
              </w:rPr>
              <w:t>Undistributed NPAT for this period</w:t>
            </w:r>
          </w:p>
        </w:tc>
        <w:tc>
          <w:tcPr>
            <w:tcW w:w="1234" w:type="dxa"/>
          </w:tcPr>
          <w:p w:rsidR="00A31F4C" w:rsidRDefault="00A31F4C" w:rsidP="00A31F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4C">
              <w:rPr>
                <w:rFonts w:ascii="Arial" w:hAnsi="Arial" w:cs="Arial"/>
                <w:sz w:val="20"/>
                <w:szCs w:val="20"/>
              </w:rPr>
              <w:t>421b</w:t>
            </w:r>
          </w:p>
        </w:tc>
        <w:tc>
          <w:tcPr>
            <w:tcW w:w="2160" w:type="dxa"/>
          </w:tcPr>
          <w:p w:rsidR="00A31F4C" w:rsidRDefault="00A31F4C" w:rsidP="00A31F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4C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31F4C">
              <w:rPr>
                <w:rFonts w:ascii="Arial" w:hAnsi="Arial" w:cs="Arial"/>
                <w:sz w:val="20"/>
                <w:szCs w:val="20"/>
              </w:rPr>
              <w:t>911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31F4C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268" w:type="dxa"/>
          </w:tcPr>
          <w:p w:rsidR="00A31F4C" w:rsidRDefault="00A31F4C" w:rsidP="00A31F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31F4C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31F4C">
              <w:rPr>
                <w:rFonts w:ascii="Arial" w:hAnsi="Arial" w:cs="Arial"/>
                <w:sz w:val="20"/>
                <w:szCs w:val="20"/>
              </w:rPr>
              <w:t>439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31F4C">
              <w:rPr>
                <w:rFonts w:ascii="Arial" w:hAnsi="Arial" w:cs="Arial"/>
                <w:sz w:val="20"/>
                <w:szCs w:val="20"/>
              </w:rPr>
              <w:t>046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31F4C">
              <w:rPr>
                <w:rFonts w:ascii="Arial" w:hAnsi="Arial" w:cs="Arial"/>
                <w:sz w:val="20"/>
                <w:szCs w:val="20"/>
              </w:rPr>
              <w:t>522)</w:t>
            </w:r>
          </w:p>
        </w:tc>
      </w:tr>
    </w:tbl>
    <w:p w:rsidR="00A31F4C" w:rsidRDefault="00A31F4C" w:rsidP="00A31F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1F4C" w:rsidRDefault="00A31F4C" w:rsidP="00A31F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F4C">
        <w:rPr>
          <w:rFonts w:ascii="Arial" w:hAnsi="Arial" w:cs="Arial"/>
          <w:sz w:val="20"/>
          <w:szCs w:val="20"/>
        </w:rPr>
        <w:t>b.  Adjustments in the Income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3386"/>
        <w:gridCol w:w="1234"/>
        <w:gridCol w:w="2160"/>
        <w:gridCol w:w="2268"/>
      </w:tblGrid>
      <w:tr w:rsidR="00356D4A" w:rsidTr="00B10391">
        <w:tc>
          <w:tcPr>
            <w:tcW w:w="528" w:type="dxa"/>
          </w:tcPr>
          <w:p w:rsidR="00356D4A" w:rsidRDefault="00356D4A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4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386" w:type="dxa"/>
          </w:tcPr>
          <w:p w:rsidR="00356D4A" w:rsidRDefault="00356D4A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4C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234" w:type="dxa"/>
          </w:tcPr>
          <w:p w:rsidR="00356D4A" w:rsidRDefault="00356D4A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4C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160" w:type="dxa"/>
          </w:tcPr>
          <w:p w:rsidR="00356D4A" w:rsidRDefault="00356D4A" w:rsidP="003633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2018 before adjustment</w:t>
            </w:r>
          </w:p>
        </w:tc>
        <w:tc>
          <w:tcPr>
            <w:tcW w:w="2268" w:type="dxa"/>
          </w:tcPr>
          <w:p w:rsidR="00356D4A" w:rsidRDefault="00356D4A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2018 after adjustment</w:t>
            </w:r>
          </w:p>
        </w:tc>
      </w:tr>
      <w:tr w:rsidR="00356D4A" w:rsidTr="00B10391">
        <w:tc>
          <w:tcPr>
            <w:tcW w:w="528" w:type="dxa"/>
          </w:tcPr>
          <w:p w:rsidR="00356D4A" w:rsidRDefault="00356D4A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6" w:type="dxa"/>
          </w:tcPr>
          <w:p w:rsidR="00356D4A" w:rsidRDefault="0036331E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expense</w:t>
            </w:r>
          </w:p>
        </w:tc>
        <w:tc>
          <w:tcPr>
            <w:tcW w:w="1234" w:type="dxa"/>
          </w:tcPr>
          <w:p w:rsidR="00356D4A" w:rsidRDefault="0036331E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356D4A" w:rsidRDefault="0036331E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31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331E">
              <w:rPr>
                <w:rFonts w:ascii="Arial" w:hAnsi="Arial" w:cs="Arial"/>
                <w:sz w:val="20"/>
                <w:szCs w:val="20"/>
              </w:rPr>
              <w:t>814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331E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331E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2268" w:type="dxa"/>
          </w:tcPr>
          <w:p w:rsidR="00356D4A" w:rsidRDefault="0036331E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31E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331E">
              <w:rPr>
                <w:rFonts w:ascii="Arial" w:hAnsi="Arial" w:cs="Arial"/>
                <w:sz w:val="20"/>
                <w:szCs w:val="20"/>
              </w:rPr>
              <w:t>291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331E">
              <w:rPr>
                <w:rFonts w:ascii="Arial" w:hAnsi="Arial" w:cs="Arial"/>
                <w:sz w:val="20"/>
                <w:szCs w:val="20"/>
              </w:rPr>
              <w:t>972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331E">
              <w:rPr>
                <w:rFonts w:ascii="Arial" w:hAnsi="Arial" w:cs="Arial"/>
                <w:sz w:val="20"/>
                <w:szCs w:val="20"/>
              </w:rPr>
              <w:t>732</w:t>
            </w:r>
          </w:p>
        </w:tc>
      </w:tr>
      <w:tr w:rsidR="00356D4A" w:rsidTr="00B10391">
        <w:tc>
          <w:tcPr>
            <w:tcW w:w="528" w:type="dxa"/>
          </w:tcPr>
          <w:p w:rsidR="00356D4A" w:rsidRDefault="00356D4A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6" w:type="dxa"/>
          </w:tcPr>
          <w:p w:rsidR="00356D4A" w:rsidRDefault="0036331E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234" w:type="dxa"/>
          </w:tcPr>
          <w:p w:rsidR="00356D4A" w:rsidRDefault="0036331E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60" w:type="dxa"/>
          </w:tcPr>
          <w:p w:rsidR="00356D4A" w:rsidRDefault="0036331E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31E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331E">
              <w:rPr>
                <w:rFonts w:ascii="Arial" w:hAnsi="Arial" w:cs="Arial"/>
                <w:sz w:val="20"/>
                <w:szCs w:val="20"/>
              </w:rPr>
              <w:t>911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331E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268" w:type="dxa"/>
          </w:tcPr>
          <w:p w:rsidR="00356D4A" w:rsidRDefault="0036331E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31E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331E">
              <w:rPr>
                <w:rFonts w:ascii="Arial" w:hAnsi="Arial" w:cs="Arial"/>
                <w:sz w:val="20"/>
                <w:szCs w:val="20"/>
              </w:rPr>
              <w:t>439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331E">
              <w:rPr>
                <w:rFonts w:ascii="Arial" w:hAnsi="Arial" w:cs="Arial"/>
                <w:sz w:val="20"/>
                <w:szCs w:val="20"/>
              </w:rPr>
              <w:t>046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331E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</w:tr>
      <w:tr w:rsidR="0036331E" w:rsidTr="00B10391">
        <w:tc>
          <w:tcPr>
            <w:tcW w:w="528" w:type="dxa"/>
          </w:tcPr>
          <w:p w:rsidR="0036331E" w:rsidRDefault="0036331E" w:rsidP="003633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6" w:type="dxa"/>
          </w:tcPr>
          <w:p w:rsidR="0036331E" w:rsidRDefault="0036331E" w:rsidP="003633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1234" w:type="dxa"/>
          </w:tcPr>
          <w:p w:rsidR="0036331E" w:rsidRDefault="0036331E" w:rsidP="003633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160" w:type="dxa"/>
          </w:tcPr>
          <w:p w:rsidR="0036331E" w:rsidRDefault="0036331E" w:rsidP="003633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31E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331E">
              <w:rPr>
                <w:rFonts w:ascii="Arial" w:hAnsi="Arial" w:cs="Arial"/>
                <w:sz w:val="20"/>
                <w:szCs w:val="20"/>
              </w:rPr>
              <w:t>911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331E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268" w:type="dxa"/>
          </w:tcPr>
          <w:p w:rsidR="0036331E" w:rsidRDefault="0036331E" w:rsidP="003633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31E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331E">
              <w:rPr>
                <w:rFonts w:ascii="Arial" w:hAnsi="Arial" w:cs="Arial"/>
                <w:sz w:val="20"/>
                <w:szCs w:val="20"/>
              </w:rPr>
              <w:t>439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331E">
              <w:rPr>
                <w:rFonts w:ascii="Arial" w:hAnsi="Arial" w:cs="Arial"/>
                <w:sz w:val="20"/>
                <w:szCs w:val="20"/>
              </w:rPr>
              <w:t>046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331E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</w:tr>
      <w:tr w:rsidR="0036331E" w:rsidTr="00B10391">
        <w:tc>
          <w:tcPr>
            <w:tcW w:w="528" w:type="dxa"/>
          </w:tcPr>
          <w:p w:rsidR="0036331E" w:rsidRDefault="0036331E" w:rsidP="003633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6" w:type="dxa"/>
          </w:tcPr>
          <w:p w:rsidR="0036331E" w:rsidRDefault="0036331E" w:rsidP="003633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31E">
              <w:rPr>
                <w:rFonts w:ascii="Arial" w:hAnsi="Arial" w:cs="Arial"/>
                <w:sz w:val="20"/>
                <w:szCs w:val="20"/>
              </w:rPr>
              <w:t>Basic earnings per share</w:t>
            </w:r>
          </w:p>
        </w:tc>
        <w:tc>
          <w:tcPr>
            <w:tcW w:w="1234" w:type="dxa"/>
          </w:tcPr>
          <w:p w:rsidR="0036331E" w:rsidRDefault="0036331E" w:rsidP="003633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160" w:type="dxa"/>
          </w:tcPr>
          <w:p w:rsidR="0036331E" w:rsidRDefault="0036331E" w:rsidP="003633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36331E" w:rsidRDefault="0036331E" w:rsidP="003633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31E">
              <w:rPr>
                <w:rFonts w:ascii="Arial" w:hAnsi="Arial" w:cs="Arial"/>
                <w:sz w:val="20"/>
                <w:szCs w:val="20"/>
              </w:rPr>
              <w:t>(10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331E">
              <w:rPr>
                <w:rFonts w:ascii="Arial" w:hAnsi="Arial" w:cs="Arial"/>
                <w:sz w:val="20"/>
                <w:szCs w:val="20"/>
              </w:rPr>
              <w:t>254)</w:t>
            </w:r>
          </w:p>
        </w:tc>
      </w:tr>
      <w:tr w:rsidR="0036331E" w:rsidTr="00B10391">
        <w:tc>
          <w:tcPr>
            <w:tcW w:w="528" w:type="dxa"/>
          </w:tcPr>
          <w:p w:rsidR="0036331E" w:rsidRDefault="0036331E" w:rsidP="003633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6" w:type="dxa"/>
          </w:tcPr>
          <w:p w:rsidR="0036331E" w:rsidRDefault="0036331E" w:rsidP="003633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31E">
              <w:rPr>
                <w:rFonts w:ascii="Arial" w:hAnsi="Arial" w:cs="Arial"/>
                <w:sz w:val="20"/>
                <w:szCs w:val="20"/>
              </w:rPr>
              <w:t>Decreased earnings per share</w:t>
            </w:r>
          </w:p>
        </w:tc>
        <w:tc>
          <w:tcPr>
            <w:tcW w:w="1234" w:type="dxa"/>
          </w:tcPr>
          <w:p w:rsidR="0036331E" w:rsidRDefault="0036331E" w:rsidP="003633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160" w:type="dxa"/>
          </w:tcPr>
          <w:p w:rsidR="0036331E" w:rsidRDefault="0036331E" w:rsidP="003633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36331E" w:rsidRDefault="0036331E" w:rsidP="003633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31E">
              <w:rPr>
                <w:rFonts w:ascii="Arial" w:hAnsi="Arial" w:cs="Arial"/>
                <w:sz w:val="20"/>
                <w:szCs w:val="20"/>
              </w:rPr>
              <w:t>(10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331E">
              <w:rPr>
                <w:rFonts w:ascii="Arial" w:hAnsi="Arial" w:cs="Arial"/>
                <w:sz w:val="20"/>
                <w:szCs w:val="20"/>
              </w:rPr>
              <w:t>254)</w:t>
            </w:r>
          </w:p>
        </w:tc>
      </w:tr>
    </w:tbl>
    <w:p w:rsidR="00356D4A" w:rsidRDefault="00356D4A" w:rsidP="003633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6331E" w:rsidRDefault="0036331E" w:rsidP="003633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31F4C">
        <w:rPr>
          <w:rFonts w:ascii="Arial" w:hAnsi="Arial" w:cs="Arial"/>
          <w:sz w:val="20"/>
          <w:szCs w:val="20"/>
        </w:rPr>
        <w:t xml:space="preserve">.  Adjustments in the </w:t>
      </w:r>
      <w:r>
        <w:rPr>
          <w:rFonts w:ascii="Arial" w:hAnsi="Arial" w:cs="Arial"/>
          <w:sz w:val="20"/>
          <w:szCs w:val="20"/>
        </w:rPr>
        <w:t>cash flow: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3386"/>
        <w:gridCol w:w="1234"/>
        <w:gridCol w:w="2160"/>
        <w:gridCol w:w="2268"/>
      </w:tblGrid>
      <w:tr w:rsidR="00A746A7" w:rsidTr="00B10391">
        <w:tc>
          <w:tcPr>
            <w:tcW w:w="528" w:type="dxa"/>
          </w:tcPr>
          <w:p w:rsidR="00A746A7" w:rsidRDefault="00A746A7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4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386" w:type="dxa"/>
          </w:tcPr>
          <w:p w:rsidR="00A746A7" w:rsidRDefault="00A746A7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4C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234" w:type="dxa"/>
          </w:tcPr>
          <w:p w:rsidR="00A746A7" w:rsidRDefault="00A746A7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4C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160" w:type="dxa"/>
          </w:tcPr>
          <w:p w:rsidR="00A746A7" w:rsidRDefault="00A746A7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2018 before adjustment</w:t>
            </w:r>
          </w:p>
        </w:tc>
        <w:tc>
          <w:tcPr>
            <w:tcW w:w="2268" w:type="dxa"/>
          </w:tcPr>
          <w:p w:rsidR="00A746A7" w:rsidRDefault="00A746A7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2018 after adjustment</w:t>
            </w:r>
          </w:p>
        </w:tc>
      </w:tr>
      <w:tr w:rsidR="00A746A7" w:rsidTr="00B10391">
        <w:tc>
          <w:tcPr>
            <w:tcW w:w="528" w:type="dxa"/>
          </w:tcPr>
          <w:p w:rsidR="00A746A7" w:rsidRDefault="00A746A7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6" w:type="dxa"/>
          </w:tcPr>
          <w:p w:rsidR="00A746A7" w:rsidRDefault="00A746A7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234" w:type="dxa"/>
          </w:tcPr>
          <w:p w:rsidR="00A746A7" w:rsidRDefault="00A746A7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60" w:type="dxa"/>
          </w:tcPr>
          <w:p w:rsidR="00A746A7" w:rsidRDefault="00A746A7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6A7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746A7">
              <w:rPr>
                <w:rFonts w:ascii="Arial" w:hAnsi="Arial" w:cs="Arial"/>
                <w:sz w:val="20"/>
                <w:szCs w:val="20"/>
              </w:rPr>
              <w:t>911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746A7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268" w:type="dxa"/>
          </w:tcPr>
          <w:p w:rsidR="00A746A7" w:rsidRDefault="00A746A7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6A7">
              <w:rPr>
                <w:rFonts w:ascii="Arial" w:hAnsi="Arial" w:cs="Arial"/>
                <w:sz w:val="20"/>
                <w:szCs w:val="20"/>
              </w:rPr>
              <w:t>(25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746A7">
              <w:rPr>
                <w:rFonts w:ascii="Arial" w:hAnsi="Arial" w:cs="Arial"/>
                <w:sz w:val="20"/>
                <w:szCs w:val="20"/>
              </w:rPr>
              <w:t>439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746A7">
              <w:rPr>
                <w:rFonts w:ascii="Arial" w:hAnsi="Arial" w:cs="Arial"/>
                <w:sz w:val="20"/>
                <w:szCs w:val="20"/>
              </w:rPr>
              <w:t>046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746A7">
              <w:rPr>
                <w:rFonts w:ascii="Arial" w:hAnsi="Arial" w:cs="Arial"/>
                <w:sz w:val="20"/>
                <w:szCs w:val="20"/>
              </w:rPr>
              <w:t>522)</w:t>
            </w:r>
          </w:p>
        </w:tc>
      </w:tr>
      <w:tr w:rsidR="00A746A7" w:rsidTr="00B10391">
        <w:tc>
          <w:tcPr>
            <w:tcW w:w="528" w:type="dxa"/>
          </w:tcPr>
          <w:p w:rsidR="00A746A7" w:rsidRDefault="00A746A7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6" w:type="dxa"/>
          </w:tcPr>
          <w:p w:rsidR="00A746A7" w:rsidRDefault="00A746A7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Provisions</w:t>
            </w:r>
          </w:p>
        </w:tc>
        <w:tc>
          <w:tcPr>
            <w:tcW w:w="1234" w:type="dxa"/>
          </w:tcPr>
          <w:p w:rsidR="00A746A7" w:rsidRDefault="00A746A7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160" w:type="dxa"/>
          </w:tcPr>
          <w:p w:rsidR="00A746A7" w:rsidRDefault="00A746A7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6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746A7" w:rsidRDefault="00A746A7" w:rsidP="00B10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6A7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746A7">
              <w:rPr>
                <w:rFonts w:ascii="Arial" w:hAnsi="Arial" w:cs="Arial"/>
                <w:sz w:val="20"/>
                <w:szCs w:val="20"/>
              </w:rPr>
              <w:t>477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746A7">
              <w:rPr>
                <w:rFonts w:ascii="Arial" w:hAnsi="Arial" w:cs="Arial"/>
                <w:sz w:val="20"/>
                <w:szCs w:val="20"/>
              </w:rPr>
              <w:t>958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746A7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A746A7" w:rsidRDefault="00A746A7" w:rsidP="00A746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331E" w:rsidRPr="00A746A7" w:rsidRDefault="0036331E" w:rsidP="00A746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6331E" w:rsidRPr="00A74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327A"/>
    <w:rsid w:val="00026B30"/>
    <w:rsid w:val="00041B1A"/>
    <w:rsid w:val="00073028"/>
    <w:rsid w:val="00090ACE"/>
    <w:rsid w:val="000A79D8"/>
    <w:rsid w:val="000B0FD0"/>
    <w:rsid w:val="000B33BC"/>
    <w:rsid w:val="000E15ED"/>
    <w:rsid w:val="000E5BBD"/>
    <w:rsid w:val="0010357F"/>
    <w:rsid w:val="00110EB8"/>
    <w:rsid w:val="0012502D"/>
    <w:rsid w:val="00125C9D"/>
    <w:rsid w:val="001654BA"/>
    <w:rsid w:val="001A017D"/>
    <w:rsid w:val="001B2DAC"/>
    <w:rsid w:val="00204DDC"/>
    <w:rsid w:val="00217C3D"/>
    <w:rsid w:val="0024099C"/>
    <w:rsid w:val="00244C92"/>
    <w:rsid w:val="00256DF0"/>
    <w:rsid w:val="0025770D"/>
    <w:rsid w:val="0026711C"/>
    <w:rsid w:val="00293FEB"/>
    <w:rsid w:val="00297425"/>
    <w:rsid w:val="002B59F4"/>
    <w:rsid w:val="002E1D14"/>
    <w:rsid w:val="00303E63"/>
    <w:rsid w:val="00330005"/>
    <w:rsid w:val="00336B0D"/>
    <w:rsid w:val="00346788"/>
    <w:rsid w:val="00356D4A"/>
    <w:rsid w:val="0036331E"/>
    <w:rsid w:val="003A771E"/>
    <w:rsid w:val="003B2570"/>
    <w:rsid w:val="00467BC0"/>
    <w:rsid w:val="004954D8"/>
    <w:rsid w:val="00496733"/>
    <w:rsid w:val="004A7E66"/>
    <w:rsid w:val="004B0E3B"/>
    <w:rsid w:val="004B5C61"/>
    <w:rsid w:val="004C7900"/>
    <w:rsid w:val="004E68F1"/>
    <w:rsid w:val="0051010C"/>
    <w:rsid w:val="00566BE9"/>
    <w:rsid w:val="0058021C"/>
    <w:rsid w:val="00594B24"/>
    <w:rsid w:val="005B0276"/>
    <w:rsid w:val="005E54DF"/>
    <w:rsid w:val="005E7D00"/>
    <w:rsid w:val="006033FC"/>
    <w:rsid w:val="0060744D"/>
    <w:rsid w:val="006623D8"/>
    <w:rsid w:val="00675C63"/>
    <w:rsid w:val="00680BC9"/>
    <w:rsid w:val="00695103"/>
    <w:rsid w:val="006E13A2"/>
    <w:rsid w:val="006E3B6D"/>
    <w:rsid w:val="00701C87"/>
    <w:rsid w:val="00701F46"/>
    <w:rsid w:val="007028B7"/>
    <w:rsid w:val="0072584C"/>
    <w:rsid w:val="00740A0C"/>
    <w:rsid w:val="00745D9A"/>
    <w:rsid w:val="00761E26"/>
    <w:rsid w:val="00795EA8"/>
    <w:rsid w:val="007D449B"/>
    <w:rsid w:val="007F4180"/>
    <w:rsid w:val="007F7DB7"/>
    <w:rsid w:val="008078B6"/>
    <w:rsid w:val="008233DC"/>
    <w:rsid w:val="0084703C"/>
    <w:rsid w:val="008729EB"/>
    <w:rsid w:val="0088081B"/>
    <w:rsid w:val="008854CF"/>
    <w:rsid w:val="00887B6C"/>
    <w:rsid w:val="00887C3A"/>
    <w:rsid w:val="0089135D"/>
    <w:rsid w:val="008B17BB"/>
    <w:rsid w:val="008C2B4C"/>
    <w:rsid w:val="008D5C54"/>
    <w:rsid w:val="00981C95"/>
    <w:rsid w:val="009C1200"/>
    <w:rsid w:val="00A31F4C"/>
    <w:rsid w:val="00A62855"/>
    <w:rsid w:val="00A746A7"/>
    <w:rsid w:val="00A81EB3"/>
    <w:rsid w:val="00AA01BA"/>
    <w:rsid w:val="00AF67BE"/>
    <w:rsid w:val="00B22DA5"/>
    <w:rsid w:val="00B40E78"/>
    <w:rsid w:val="00B82455"/>
    <w:rsid w:val="00BA721C"/>
    <w:rsid w:val="00BC16A6"/>
    <w:rsid w:val="00BF30C1"/>
    <w:rsid w:val="00C04449"/>
    <w:rsid w:val="00C075A7"/>
    <w:rsid w:val="00C13F9F"/>
    <w:rsid w:val="00C324E9"/>
    <w:rsid w:val="00C72FFB"/>
    <w:rsid w:val="00C84DFD"/>
    <w:rsid w:val="00CA41E5"/>
    <w:rsid w:val="00CA6F06"/>
    <w:rsid w:val="00CC15D8"/>
    <w:rsid w:val="00CD493C"/>
    <w:rsid w:val="00D06CA1"/>
    <w:rsid w:val="00D61AB5"/>
    <w:rsid w:val="00D778AE"/>
    <w:rsid w:val="00E11EBD"/>
    <w:rsid w:val="00E154B3"/>
    <w:rsid w:val="00E36A48"/>
    <w:rsid w:val="00E46F08"/>
    <w:rsid w:val="00EA6E4A"/>
    <w:rsid w:val="00ED31AF"/>
    <w:rsid w:val="00EF7457"/>
    <w:rsid w:val="00F02E19"/>
    <w:rsid w:val="00F163FC"/>
    <w:rsid w:val="00F655B9"/>
    <w:rsid w:val="00F85153"/>
    <w:rsid w:val="00F9058F"/>
    <w:rsid w:val="00FD2D19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D7D6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124</cp:revision>
  <dcterms:created xsi:type="dcterms:W3CDTF">2019-10-16T10:03:00Z</dcterms:created>
  <dcterms:modified xsi:type="dcterms:W3CDTF">2020-04-27T03:28:00Z</dcterms:modified>
</cp:coreProperties>
</file>